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ascii="Times New Roman" w:eastAsia="方正小标宋简体"/>
          <w:kern w:val="2"/>
          <w:sz w:val="72"/>
          <w:szCs w:val="72"/>
        </w:rPr>
      </w:pPr>
      <w:bookmarkStart w:id="0" w:name="_Toc15396597"/>
      <w:bookmarkStart w:id="1" w:name="_Toc15378441"/>
      <w:bookmarkStart w:id="2" w:name="_Toc15377425"/>
      <w:bookmarkStart w:id="3" w:name="_Toc15396475"/>
      <w:bookmarkStart w:id="4" w:name="_Toc15306267"/>
      <w:bookmarkStart w:id="5" w:name="_Toc15377193"/>
    </w:p>
    <w:p>
      <w:pPr>
        <w:pStyle w:val="8"/>
        <w:spacing w:before="93"/>
        <w:rPr>
          <w:rFonts w:ascii="Times New Roman" w:eastAsia="方正小标宋简体"/>
          <w:kern w:val="2"/>
          <w:sz w:val="72"/>
          <w:szCs w:val="72"/>
        </w:rPr>
      </w:pPr>
    </w:p>
    <w:p>
      <w:pPr>
        <w:pStyle w:val="8"/>
        <w:spacing w:before="93"/>
        <w:rPr>
          <w:rFonts w:ascii="Times New Roman" w:eastAsia="方正小标宋简体"/>
          <w:kern w:val="2"/>
          <w:sz w:val="72"/>
          <w:szCs w:val="72"/>
        </w:rPr>
      </w:pPr>
    </w:p>
    <w:p>
      <w:pPr>
        <w:pStyle w:val="8"/>
        <w:spacing w:before="93"/>
        <w:rPr>
          <w:rFonts w:ascii="Times New Roman" w:eastAsia="方正小标宋简体"/>
          <w:kern w:val="2"/>
          <w:sz w:val="72"/>
          <w:szCs w:val="72"/>
        </w:rPr>
      </w:pP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2025年度四川省沐川县档案馆部门决算</w:t>
      </w:r>
    </w:p>
    <w:p>
      <w:pPr>
        <w:spacing w:line="600" w:lineRule="exact"/>
        <w:jc w:val="center"/>
        <w:outlineLvl w:val="0"/>
        <w:rPr>
          <w:rFonts w:eastAsia="方正小标宋简体"/>
          <w:sz w:val="72"/>
          <w:szCs w:val="72"/>
        </w:rPr>
      </w:pPr>
    </w:p>
    <w:p>
      <w:pPr>
        <w:pStyle w:val="19"/>
        <w:rPr>
          <w:rFonts w:ascii="Times New Roman" w:hAnsi="Times New Roman"/>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公开时间：2026年9月20日</w:t>
      </w:r>
    </w:p>
    <w:sdt>
      <w:sdtPr>
        <w:rPr>
          <w:rFonts w:ascii="Times New Roman" w:hAnsi="Times New Roman" w:eastAsia="宋体" w:cs="Times New Roman"/>
          <w:b w:val="0"/>
          <w:bCs w:val="0"/>
          <w:color w:val="auto"/>
          <w:kern w:val="2"/>
          <w:sz w:val="21"/>
          <w:szCs w:val="24"/>
          <w:lang w:val="zh-CN"/>
        </w:rPr>
        <w:id w:val="117068674"/>
        <w:docPartObj>
          <w:docPartGallery w:val="Table of Contents"/>
          <w:docPartUnique/>
        </w:docPartObj>
      </w:sdtPr>
      <w:sdtEndPr>
        <w:rPr>
          <w:rFonts w:ascii="仿宋" w:hAnsi="仿宋" w:eastAsia="仿宋" w:cs="Times New Roman"/>
          <w:b w:val="0"/>
          <w:bCs w:val="0"/>
          <w:color w:val="auto"/>
          <w:kern w:val="2"/>
          <w:sz w:val="28"/>
          <w:szCs w:val="28"/>
          <w:lang w:val="en-US"/>
        </w:rPr>
      </w:sdtEndPr>
      <w:sdtContent>
        <w:p>
          <w:pPr>
            <w:pStyle w:val="35"/>
          </w:pPr>
          <w:bookmarkStart w:id="6" w:name="_Toc15377196"/>
          <w:bookmarkStart w:id="7" w:name="_Toc15396599"/>
        </w:p>
        <w:p>
          <w:pPr>
            <w:pStyle w:val="13"/>
            <w:jc w:val="left"/>
            <w:rPr>
              <w:rFonts w:cstheme="minorBidi"/>
            </w:rPr>
          </w:pPr>
          <w:r>
            <w:fldChar w:fldCharType="begin"/>
          </w:r>
          <w:r>
            <w:instrText xml:space="preserve"> TOC \o "1-3" \h \z \u </w:instrText>
          </w:r>
          <w:r>
            <w:fldChar w:fldCharType="separate"/>
          </w:r>
          <w:r>
            <w:fldChar w:fldCharType="begin"/>
          </w:r>
          <w:r>
            <w:instrText xml:space="preserve"> HYPERLINK \l "_Toc240573308" </w:instrText>
          </w:r>
          <w:r>
            <w:fldChar w:fldCharType="separate"/>
          </w:r>
          <w:r>
            <w:rPr>
              <w:rStyle w:val="18"/>
              <w:rFonts w:hint="eastAsia" w:cs="方正小标宋简体"/>
            </w:rPr>
            <w:t>第一部分部门概况</w:t>
          </w:r>
          <w:r>
            <w:tab/>
          </w:r>
          <w:r>
            <w:fldChar w:fldCharType="begin"/>
          </w:r>
          <w:r>
            <w:instrText xml:space="preserve"> PAGEREF _Toc240573308 \h </w:instrText>
          </w:r>
          <w:r>
            <w:fldChar w:fldCharType="separate"/>
          </w:r>
          <w:r>
            <w:t>- 1 -</w:t>
          </w:r>
          <w:r>
            <w:fldChar w:fldCharType="end"/>
          </w:r>
          <w:r>
            <w:fldChar w:fldCharType="end"/>
          </w:r>
        </w:p>
        <w:p>
          <w:pPr>
            <w:pStyle w:val="14"/>
            <w:jc w:val="left"/>
            <w:rPr>
              <w:rFonts w:ascii="仿宋" w:hAnsi="仿宋" w:eastAsia="仿宋" w:cstheme="minorBidi"/>
              <w:sz w:val="28"/>
              <w:szCs w:val="28"/>
            </w:rPr>
          </w:pPr>
          <w:r>
            <w:fldChar w:fldCharType="begin"/>
          </w:r>
          <w:r>
            <w:instrText xml:space="preserve"> HYPERLINK \l "_Toc240573309" </w:instrText>
          </w:r>
          <w:r>
            <w:fldChar w:fldCharType="separate"/>
          </w:r>
          <w:r>
            <w:rPr>
              <w:rStyle w:val="18"/>
              <w:rFonts w:hint="eastAsia" w:ascii="仿宋" w:hAnsi="仿宋" w:eastAsia="仿宋"/>
              <w:sz w:val="28"/>
              <w:szCs w:val="28"/>
            </w:rPr>
            <w:t>一、部门职责</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_Toc240573309 \h </w:instrText>
          </w:r>
          <w:r>
            <w:rPr>
              <w:rFonts w:ascii="仿宋" w:hAnsi="仿宋" w:eastAsia="仿宋"/>
              <w:sz w:val="28"/>
              <w:szCs w:val="28"/>
            </w:rPr>
            <w:fldChar w:fldCharType="separate"/>
          </w:r>
          <w:r>
            <w:rPr>
              <w:rFonts w:ascii="仿宋" w:hAnsi="仿宋" w:eastAsia="仿宋"/>
              <w:sz w:val="28"/>
              <w:szCs w:val="28"/>
            </w:rPr>
            <w:t>- 1 -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"_Toc240573310" </w:instrText>
          </w:r>
          <w:r>
            <w:fldChar w:fldCharType="separate"/>
          </w:r>
          <w:r>
            <w:rPr>
              <w:rStyle w:val="18"/>
              <w:rFonts w:hint="eastAsia" w:ascii="仿宋" w:hAnsi="仿宋" w:eastAsia="仿宋"/>
              <w:sz w:val="28"/>
              <w:szCs w:val="28"/>
            </w:rPr>
            <w:t>二、机构设置</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_Toc240573310 \h </w:instrText>
          </w:r>
          <w:r>
            <w:rPr>
              <w:rFonts w:ascii="仿宋" w:hAnsi="仿宋" w:eastAsia="仿宋"/>
              <w:sz w:val="28"/>
              <w:szCs w:val="28"/>
            </w:rPr>
            <w:fldChar w:fldCharType="separate"/>
          </w:r>
          <w:r>
            <w:rPr>
              <w:rFonts w:ascii="仿宋" w:hAnsi="仿宋" w:eastAsia="仿宋"/>
              <w:sz w:val="28"/>
              <w:szCs w:val="28"/>
            </w:rPr>
            <w:t>- 2 -</w:t>
          </w:r>
          <w:r>
            <w:rPr>
              <w:rFonts w:ascii="仿宋" w:hAnsi="仿宋" w:eastAsia="仿宋"/>
              <w:sz w:val="28"/>
              <w:szCs w:val="28"/>
            </w:rPr>
            <w:fldChar w:fldCharType="end"/>
          </w:r>
          <w:r>
            <w:rPr>
              <w:rFonts w:ascii="仿宋" w:hAnsi="仿宋" w:eastAsia="仿宋"/>
              <w:sz w:val="28"/>
              <w:szCs w:val="28"/>
            </w:rPr>
            <w:fldChar w:fldCharType="end"/>
          </w:r>
        </w:p>
        <w:p>
          <w:pPr>
            <w:pStyle w:val="13"/>
            <w:jc w:val="left"/>
            <w:rPr>
              <w:rFonts w:cstheme="minorBidi"/>
            </w:rPr>
          </w:pPr>
          <w:r>
            <w:fldChar w:fldCharType="begin"/>
          </w:r>
          <w:r>
            <w:instrText xml:space="preserve"> HYPERLINK \l "_Toc240573311" </w:instrText>
          </w:r>
          <w:r>
            <w:fldChar w:fldCharType="separate"/>
          </w:r>
          <w:r>
            <w:rPr>
              <w:rStyle w:val="18"/>
              <w:rFonts w:hint="eastAsia" w:cs="方正小标宋简体"/>
            </w:rPr>
            <w:t>第二部分</w:t>
          </w:r>
          <w:r>
            <w:rPr>
              <w:rStyle w:val="18"/>
              <w:rFonts w:cs="方正小标宋简体"/>
            </w:rPr>
            <w:t xml:space="preserve"> 2025</w:t>
          </w:r>
          <w:r>
            <w:rPr>
              <w:rStyle w:val="18"/>
              <w:rFonts w:hint="eastAsia" w:cs="方正小标宋简体"/>
            </w:rPr>
            <w:t>年度部门决算情况说明</w:t>
          </w:r>
          <w:r>
            <w:tab/>
          </w:r>
          <w:r>
            <w:fldChar w:fldCharType="begin"/>
          </w:r>
          <w:r>
            <w:instrText xml:space="preserve"> PAGEREF _Toc240573311 \h </w:instrText>
          </w:r>
          <w:r>
            <w:fldChar w:fldCharType="separate"/>
          </w:r>
          <w:r>
            <w:t>- 3 -</w:t>
          </w:r>
          <w:r>
            <w:fldChar w:fldCharType="end"/>
          </w:r>
          <w:r>
            <w:fldChar w:fldCharType="end"/>
          </w:r>
        </w:p>
        <w:p>
          <w:pPr>
            <w:pStyle w:val="14"/>
            <w:jc w:val="left"/>
            <w:rPr>
              <w:rFonts w:ascii="仿宋" w:hAnsi="仿宋" w:eastAsia="仿宋" w:cstheme="minorBidi"/>
              <w:sz w:val="28"/>
              <w:szCs w:val="28"/>
            </w:rPr>
          </w:pPr>
          <w:r>
            <w:fldChar w:fldCharType="begin"/>
          </w:r>
          <w:r>
            <w:instrText xml:space="preserve"> HYPERLINK \l "_Toc240573312" </w:instrText>
          </w:r>
          <w:r>
            <w:fldChar w:fldCharType="separate"/>
          </w:r>
          <w:r>
            <w:rPr>
              <w:rStyle w:val="18"/>
              <w:rFonts w:hint="eastAsia" w:ascii="仿宋" w:hAnsi="仿宋" w:eastAsia="仿宋"/>
              <w:sz w:val="28"/>
              <w:szCs w:val="28"/>
            </w:rPr>
            <w:t>一、收</w:t>
          </w:r>
          <w:r>
            <w:rPr>
              <w:rStyle w:val="18"/>
              <w:rFonts w:hint="eastAsia" w:ascii="仿宋" w:hAnsi="仿宋" w:eastAsia="仿宋" w:cstheme="majorBidi"/>
              <w:bCs/>
              <w:sz w:val="28"/>
              <w:szCs w:val="28"/>
            </w:rPr>
            <w:t>入支出决算总体情况说明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_Toc240573312 \h </w:instrText>
          </w:r>
          <w:r>
            <w:rPr>
              <w:rFonts w:ascii="仿宋" w:hAnsi="仿宋" w:eastAsia="仿宋"/>
              <w:sz w:val="28"/>
              <w:szCs w:val="28"/>
            </w:rPr>
            <w:fldChar w:fldCharType="separate"/>
          </w:r>
          <w:r>
            <w:rPr>
              <w:rFonts w:ascii="仿宋" w:hAnsi="仿宋" w:eastAsia="仿宋"/>
              <w:sz w:val="28"/>
              <w:szCs w:val="28"/>
            </w:rPr>
            <w:t>- 3 -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"_Toc240573313" </w:instrText>
          </w:r>
          <w:r>
            <w:fldChar w:fldCharType="separate"/>
          </w:r>
          <w:r>
            <w:rPr>
              <w:rStyle w:val="18"/>
              <w:rFonts w:hint="eastAsia" w:ascii="仿宋" w:hAnsi="仿宋" w:eastAsia="仿宋"/>
              <w:sz w:val="28"/>
              <w:szCs w:val="28"/>
            </w:rPr>
            <w:t>二、收入决算情况说明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_Toc240573313 \h </w:instrText>
          </w:r>
          <w:r>
            <w:rPr>
              <w:rFonts w:ascii="仿宋" w:hAnsi="仿宋" w:eastAsia="仿宋"/>
              <w:sz w:val="28"/>
              <w:szCs w:val="28"/>
            </w:rPr>
            <w:fldChar w:fldCharType="separate"/>
          </w:r>
          <w:r>
            <w:rPr>
              <w:rFonts w:ascii="仿宋" w:hAnsi="仿宋" w:eastAsia="仿宋"/>
              <w:sz w:val="28"/>
              <w:szCs w:val="28"/>
            </w:rPr>
            <w:t>- 3 -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"_Toc240573314" </w:instrText>
          </w:r>
          <w:r>
            <w:fldChar w:fldCharType="separate"/>
          </w:r>
          <w:r>
            <w:rPr>
              <w:rStyle w:val="18"/>
              <w:rFonts w:hint="eastAsia" w:ascii="仿宋" w:hAnsi="仿宋" w:eastAsia="仿宋"/>
              <w:sz w:val="28"/>
              <w:szCs w:val="28"/>
            </w:rPr>
            <w:t>三、支</w:t>
          </w:r>
          <w:r>
            <w:rPr>
              <w:rStyle w:val="18"/>
              <w:rFonts w:hint="eastAsia" w:ascii="仿宋" w:hAnsi="仿宋" w:eastAsia="仿宋" w:cstheme="majorBidi"/>
              <w:bCs/>
              <w:sz w:val="28"/>
              <w:szCs w:val="28"/>
            </w:rPr>
            <w:t>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_Toc240573314 \h </w:instrText>
          </w:r>
          <w:r>
            <w:rPr>
              <w:rFonts w:ascii="仿宋" w:hAnsi="仿宋" w:eastAsia="仿宋"/>
              <w:sz w:val="28"/>
              <w:szCs w:val="28"/>
            </w:rPr>
            <w:fldChar w:fldCharType="separate"/>
          </w:r>
          <w:r>
            <w:rPr>
              <w:rFonts w:ascii="仿宋" w:hAnsi="仿宋" w:eastAsia="仿宋"/>
              <w:sz w:val="28"/>
              <w:szCs w:val="28"/>
            </w:rPr>
            <w:t>- 4 -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"_Toc240573315" </w:instrText>
          </w:r>
          <w:r>
            <w:fldChar w:fldCharType="separate"/>
          </w:r>
          <w:r>
            <w:rPr>
              <w:rStyle w:val="18"/>
              <w:rFonts w:hint="eastAsia" w:ascii="仿宋" w:hAnsi="仿宋" w:eastAsia="仿宋"/>
              <w:sz w:val="28"/>
              <w:szCs w:val="28"/>
            </w:rPr>
            <w:t>四、财</w:t>
          </w:r>
          <w:r>
            <w:rPr>
              <w:rStyle w:val="18"/>
              <w:rFonts w:hint="eastAsia" w:ascii="仿宋" w:hAnsi="仿宋" w:eastAsia="仿宋" w:cstheme="majorBidi"/>
              <w:bCs/>
              <w:sz w:val="28"/>
              <w:szCs w:val="28"/>
            </w:rPr>
            <w:t>政拨款收入支出决算总体情况说明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_Toc240573315 \h </w:instrText>
          </w:r>
          <w:r>
            <w:rPr>
              <w:rFonts w:ascii="仿宋" w:hAnsi="仿宋" w:eastAsia="仿宋"/>
              <w:sz w:val="28"/>
              <w:szCs w:val="28"/>
            </w:rPr>
            <w:fldChar w:fldCharType="separate"/>
          </w:r>
          <w:r>
            <w:rPr>
              <w:rFonts w:ascii="仿宋" w:hAnsi="仿宋" w:eastAsia="仿宋"/>
              <w:sz w:val="28"/>
              <w:szCs w:val="28"/>
            </w:rPr>
            <w:t>- 5 -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"_Toc240573316" </w:instrText>
          </w:r>
          <w:r>
            <w:fldChar w:fldCharType="separate"/>
          </w:r>
          <w:r>
            <w:rPr>
              <w:rStyle w:val="18"/>
              <w:rFonts w:hint="eastAsia" w:ascii="仿宋" w:hAnsi="仿宋" w:eastAsia="仿宋"/>
              <w:sz w:val="28"/>
              <w:szCs w:val="28"/>
            </w:rPr>
            <w:t>五、</w:t>
          </w:r>
          <w:r>
            <w:rPr>
              <w:rStyle w:val="18"/>
              <w:rFonts w:hint="eastAsia" w:ascii="仿宋" w:hAnsi="仿宋" w:eastAsia="仿宋"/>
              <w:b/>
              <w:sz w:val="28"/>
              <w:szCs w:val="28"/>
            </w:rPr>
            <w:t>一</w:t>
          </w:r>
          <w:r>
            <w:rPr>
              <w:rStyle w:val="18"/>
              <w:rFonts w:hint="eastAsia" w:ascii="仿宋" w:hAnsi="仿宋" w:eastAsia="仿宋" w:cstheme="majorBidi"/>
              <w:bCs/>
              <w:sz w:val="28"/>
              <w:szCs w:val="28"/>
            </w:rPr>
            <w:t>般公共预算财政拨款支出决算情况说明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_Toc240573316 \h </w:instrText>
          </w:r>
          <w:r>
            <w:rPr>
              <w:rFonts w:ascii="仿宋" w:hAnsi="仿宋" w:eastAsia="仿宋"/>
              <w:sz w:val="28"/>
              <w:szCs w:val="28"/>
            </w:rPr>
            <w:fldChar w:fldCharType="separate"/>
          </w:r>
          <w:r>
            <w:rPr>
              <w:rFonts w:ascii="仿宋" w:hAnsi="仿宋" w:eastAsia="仿宋"/>
              <w:sz w:val="28"/>
              <w:szCs w:val="28"/>
            </w:rPr>
            <w:t>- 5 -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"_Toc240573317" </w:instrText>
          </w:r>
          <w:r>
            <w:fldChar w:fldCharType="separate"/>
          </w:r>
          <w:r>
            <w:rPr>
              <w:rStyle w:val="18"/>
              <w:rFonts w:hint="eastAsia" w:ascii="仿宋" w:hAnsi="仿宋" w:eastAsia="仿宋"/>
              <w:sz w:val="28"/>
              <w:szCs w:val="28"/>
            </w:rPr>
            <w:t>六</w:t>
          </w:r>
          <w:r>
            <w:rPr>
              <w:rStyle w:val="18"/>
              <w:rFonts w:hint="eastAsia" w:ascii="仿宋" w:hAnsi="仿宋" w:eastAsia="仿宋"/>
              <w:b/>
              <w:sz w:val="28"/>
              <w:szCs w:val="28"/>
            </w:rPr>
            <w:t>、一</w:t>
          </w:r>
          <w:r>
            <w:rPr>
              <w:rStyle w:val="18"/>
              <w:rFonts w:hint="eastAsia" w:ascii="仿宋" w:hAnsi="仿宋" w:eastAsia="仿宋" w:cstheme="majorBidi"/>
              <w:bCs/>
              <w:sz w:val="28"/>
              <w:szCs w:val="28"/>
            </w:rPr>
            <w:t>般公共预算财政拨款基本支出决算情况说明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_Toc240573317 \h </w:instrText>
          </w:r>
          <w:r>
            <w:rPr>
              <w:rFonts w:ascii="仿宋" w:hAnsi="仿宋" w:eastAsia="仿宋"/>
              <w:sz w:val="28"/>
              <w:szCs w:val="28"/>
            </w:rPr>
            <w:fldChar w:fldCharType="separate"/>
          </w:r>
          <w:r>
            <w:rPr>
              <w:rFonts w:ascii="仿宋" w:hAnsi="仿宋" w:eastAsia="仿宋"/>
              <w:sz w:val="28"/>
              <w:szCs w:val="28"/>
            </w:rPr>
            <w:t>- 8 -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"_Toc240573318" </w:instrText>
          </w:r>
          <w:r>
            <w:fldChar w:fldCharType="separate"/>
          </w:r>
          <w:r>
            <w:rPr>
              <w:rStyle w:val="18"/>
              <w:rFonts w:hint="eastAsia" w:ascii="仿宋" w:hAnsi="仿宋" w:eastAsia="仿宋"/>
              <w:sz w:val="28"/>
              <w:szCs w:val="28"/>
            </w:rPr>
            <w:t>七、</w:t>
          </w:r>
          <w:r>
            <w:rPr>
              <w:rStyle w:val="18"/>
              <w:rFonts w:hint="eastAsia" w:ascii="仿宋" w:hAnsi="仿宋" w:eastAsia="仿宋" w:cstheme="majorBidi"/>
              <w:bCs/>
              <w:sz w:val="28"/>
              <w:szCs w:val="28"/>
            </w:rPr>
            <w:t>财政拨款</w:t>
          </w:r>
          <w:r>
            <w:rPr>
              <w:rStyle w:val="18"/>
              <w:rFonts w:ascii="仿宋" w:hAnsi="仿宋" w:eastAsia="仿宋" w:cstheme="majorBidi"/>
              <w:b/>
              <w:bCs/>
              <w:sz w:val="28"/>
              <w:szCs w:val="28"/>
            </w:rPr>
            <w:t>“</w:t>
          </w:r>
          <w:r>
            <w:rPr>
              <w:rStyle w:val="18"/>
              <w:rFonts w:hint="eastAsia" w:ascii="仿宋" w:hAnsi="仿宋" w:eastAsia="仿宋" w:cstheme="majorBidi"/>
              <w:bCs/>
              <w:sz w:val="28"/>
              <w:szCs w:val="28"/>
            </w:rPr>
            <w:t>三公”经费支出决算情况说明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_Toc240573318 \h </w:instrText>
          </w:r>
          <w:r>
            <w:rPr>
              <w:rFonts w:ascii="仿宋" w:hAnsi="仿宋" w:eastAsia="仿宋"/>
              <w:sz w:val="28"/>
              <w:szCs w:val="28"/>
            </w:rPr>
            <w:fldChar w:fldCharType="separate"/>
          </w:r>
          <w:r>
            <w:rPr>
              <w:rFonts w:ascii="仿宋" w:hAnsi="仿宋" w:eastAsia="仿宋"/>
              <w:sz w:val="28"/>
              <w:szCs w:val="28"/>
            </w:rPr>
            <w:t>- 8 -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"_Toc240573319" </w:instrText>
          </w:r>
          <w:r>
            <w:fldChar w:fldCharType="separate"/>
          </w:r>
          <w:r>
            <w:rPr>
              <w:rStyle w:val="18"/>
              <w:rFonts w:hint="eastAsia" w:ascii="仿宋" w:hAnsi="仿宋" w:eastAsia="仿宋"/>
              <w:sz w:val="28"/>
              <w:szCs w:val="28"/>
            </w:rPr>
            <w:t>八、</w:t>
          </w:r>
          <w:r>
            <w:rPr>
              <w:rStyle w:val="18"/>
              <w:rFonts w:hint="eastAsia" w:ascii="仿宋" w:hAnsi="仿宋" w:eastAsia="仿宋" w:cstheme="majorBidi"/>
              <w:bCs/>
              <w:sz w:val="28"/>
              <w:szCs w:val="28"/>
            </w:rPr>
            <w:t>政府性基金预算支出决算情况说明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_Toc240573319 \h </w:instrText>
          </w:r>
          <w:r>
            <w:rPr>
              <w:rFonts w:ascii="仿宋" w:hAnsi="仿宋" w:eastAsia="仿宋"/>
              <w:sz w:val="28"/>
              <w:szCs w:val="28"/>
            </w:rPr>
            <w:fldChar w:fldCharType="separate"/>
          </w:r>
          <w:r>
            <w:rPr>
              <w:rFonts w:ascii="仿宋" w:hAnsi="仿宋" w:eastAsia="仿宋"/>
              <w:sz w:val="28"/>
              <w:szCs w:val="28"/>
            </w:rPr>
            <w:t>- 9 -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"_Toc240573320" </w:instrText>
          </w:r>
          <w:r>
            <w:fldChar w:fldCharType="separate"/>
          </w:r>
          <w:r>
            <w:rPr>
              <w:rStyle w:val="18"/>
              <w:rFonts w:hint="eastAsia" w:ascii="仿宋" w:hAnsi="仿宋" w:eastAsia="仿宋" w:cstheme="majorBidi"/>
              <w:bCs/>
              <w:sz w:val="28"/>
              <w:szCs w:val="28"/>
            </w:rPr>
            <w:t>九、国有资本经营预算支出决算情况说明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_Toc240573320 \h </w:instrText>
          </w:r>
          <w:r>
            <w:rPr>
              <w:rFonts w:ascii="仿宋" w:hAnsi="仿宋" w:eastAsia="仿宋"/>
              <w:sz w:val="28"/>
              <w:szCs w:val="28"/>
            </w:rPr>
            <w:fldChar w:fldCharType="separate"/>
          </w:r>
          <w:r>
            <w:rPr>
              <w:rFonts w:ascii="仿宋" w:hAnsi="仿宋" w:eastAsia="仿宋"/>
              <w:sz w:val="28"/>
              <w:szCs w:val="28"/>
            </w:rPr>
            <w:t>- 9 -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"_Toc240573321" </w:instrText>
          </w:r>
          <w:r>
            <w:fldChar w:fldCharType="separate"/>
          </w:r>
          <w:r>
            <w:rPr>
              <w:rStyle w:val="18"/>
              <w:rFonts w:hint="eastAsia" w:ascii="仿宋" w:hAnsi="仿宋" w:eastAsia="仿宋" w:cstheme="majorBidi"/>
              <w:bCs/>
              <w:sz w:val="28"/>
              <w:szCs w:val="28"/>
            </w:rPr>
            <w:t>十、其他重要事项的情况说明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_Toc240573321 \h </w:instrText>
          </w:r>
          <w:r>
            <w:rPr>
              <w:rFonts w:ascii="仿宋" w:hAnsi="仿宋" w:eastAsia="仿宋"/>
              <w:sz w:val="28"/>
              <w:szCs w:val="28"/>
            </w:rPr>
            <w:fldChar w:fldCharType="separate"/>
          </w:r>
          <w:r>
            <w:rPr>
              <w:rFonts w:ascii="仿宋" w:hAnsi="仿宋" w:eastAsia="仿宋"/>
              <w:sz w:val="28"/>
              <w:szCs w:val="28"/>
            </w:rPr>
            <w:t>- 9 -</w:t>
          </w:r>
          <w:r>
            <w:rPr>
              <w:rFonts w:ascii="仿宋" w:hAnsi="仿宋" w:eastAsia="仿宋"/>
              <w:sz w:val="28"/>
              <w:szCs w:val="28"/>
            </w:rPr>
            <w:fldChar w:fldCharType="end"/>
          </w:r>
          <w:r>
            <w:rPr>
              <w:rFonts w:ascii="仿宋" w:hAnsi="仿宋" w:eastAsia="仿宋"/>
              <w:sz w:val="28"/>
              <w:szCs w:val="28"/>
            </w:rPr>
            <w:fldChar w:fldCharType="end"/>
          </w:r>
        </w:p>
        <w:p>
          <w:pPr>
            <w:pStyle w:val="13"/>
            <w:jc w:val="left"/>
            <w:rPr>
              <w:rFonts w:cstheme="minorBidi"/>
            </w:rPr>
          </w:pPr>
          <w:r>
            <w:fldChar w:fldCharType="begin"/>
          </w:r>
          <w:r>
            <w:instrText xml:space="preserve"> HYPERLINK \l "_Toc240573322" </w:instrText>
          </w:r>
          <w:r>
            <w:fldChar w:fldCharType="separate"/>
          </w:r>
          <w:r>
            <w:rPr>
              <w:rStyle w:val="18"/>
              <w:rFonts w:hint="eastAsia"/>
            </w:rPr>
            <w:t>第三部分名词解释</w:t>
          </w:r>
          <w:r>
            <w:tab/>
          </w:r>
          <w:r>
            <w:fldChar w:fldCharType="begin"/>
          </w:r>
          <w:r>
            <w:instrText xml:space="preserve"> PAGEREF _Toc240573322 \h </w:instrText>
          </w:r>
          <w:r>
            <w:fldChar w:fldCharType="separate"/>
          </w:r>
          <w:r>
            <w:t>- 12 -</w:t>
          </w:r>
          <w:r>
            <w:fldChar w:fldCharType="end"/>
          </w:r>
          <w:r>
            <w:fldChar w:fldCharType="end"/>
          </w:r>
        </w:p>
        <w:p>
          <w:pPr>
            <w:pStyle w:val="13"/>
            <w:jc w:val="left"/>
            <w:rPr>
              <w:rFonts w:cstheme="minorBidi"/>
            </w:rPr>
          </w:pPr>
          <w:r>
            <w:fldChar w:fldCharType="begin"/>
          </w:r>
          <w:r>
            <w:instrText xml:space="preserve"> HYPERLINK \l "_Toc240573323" </w:instrText>
          </w:r>
          <w:r>
            <w:fldChar w:fldCharType="separate"/>
          </w:r>
          <w:r>
            <w:rPr>
              <w:rStyle w:val="18"/>
              <w:rFonts w:hint="eastAsia"/>
            </w:rPr>
            <w:t>第四部分附件</w:t>
          </w:r>
          <w:r>
            <w:tab/>
          </w:r>
          <w:r>
            <w:fldChar w:fldCharType="begin"/>
          </w:r>
          <w:r>
            <w:instrText xml:space="preserve"> PAGEREF _Toc240573323 \h </w:instrText>
          </w:r>
          <w:r>
            <w:fldChar w:fldCharType="separate"/>
          </w:r>
          <w:r>
            <w:t>- 15 -</w:t>
          </w:r>
          <w:r>
            <w:fldChar w:fldCharType="end"/>
          </w:r>
          <w:r>
            <w:fldChar w:fldCharType="end"/>
          </w:r>
        </w:p>
        <w:p>
          <w:pPr>
            <w:pStyle w:val="14"/>
            <w:jc w:val="left"/>
            <w:rPr>
              <w:rFonts w:ascii="仿宋" w:hAnsi="仿宋" w:eastAsia="仿宋" w:cstheme="minorBidi"/>
              <w:sz w:val="28"/>
              <w:szCs w:val="28"/>
            </w:rPr>
          </w:pPr>
          <w:r>
            <w:fldChar w:fldCharType="begin"/>
          </w:r>
          <w:r>
            <w:instrText xml:space="preserve"> HYPERLINK \l "_Toc240573324" </w:instrText>
          </w:r>
          <w:r>
            <w:fldChar w:fldCharType="separate"/>
          </w:r>
          <w:r>
            <w:rPr>
              <w:rStyle w:val="18"/>
              <w:rFonts w:hint="eastAsia" w:ascii="仿宋" w:hAnsi="仿宋" w:eastAsia="仿宋"/>
              <w:sz w:val="28"/>
              <w:szCs w:val="28"/>
            </w:rPr>
            <w:t>附件</w:t>
          </w:r>
          <w:r>
            <w:rPr>
              <w:rStyle w:val="18"/>
              <w:rFonts w:ascii="仿宋" w:hAnsi="仿宋" w:eastAsia="仿宋"/>
              <w:sz w:val="28"/>
              <w:szCs w:val="28"/>
            </w:rPr>
            <w:t>1</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_Toc240573324 \h </w:instrText>
          </w:r>
          <w:r>
            <w:rPr>
              <w:rFonts w:ascii="仿宋" w:hAnsi="仿宋" w:eastAsia="仿宋"/>
              <w:sz w:val="28"/>
              <w:szCs w:val="28"/>
            </w:rPr>
            <w:fldChar w:fldCharType="separate"/>
          </w:r>
          <w:r>
            <w:rPr>
              <w:rFonts w:ascii="仿宋" w:hAnsi="仿宋" w:eastAsia="仿宋"/>
              <w:sz w:val="28"/>
              <w:szCs w:val="28"/>
            </w:rPr>
            <w:t>- 15 -</w:t>
          </w:r>
          <w:r>
            <w:rPr>
              <w:rFonts w:ascii="仿宋" w:hAnsi="仿宋" w:eastAsia="仿宋"/>
              <w:sz w:val="28"/>
              <w:szCs w:val="28"/>
            </w:rPr>
            <w:fldChar w:fldCharType="end"/>
          </w:r>
          <w:r>
            <w:rPr>
              <w:rFonts w:ascii="仿宋" w:hAnsi="仿宋" w:eastAsia="仿宋"/>
              <w:sz w:val="28"/>
              <w:szCs w:val="28"/>
            </w:rPr>
            <w:fldChar w:fldCharType="end"/>
          </w:r>
        </w:p>
        <w:p>
          <w:pPr>
            <w:pStyle w:val="14"/>
            <w:jc w:val="left"/>
            <w:rPr>
              <w:rFonts w:ascii="仿宋" w:hAnsi="仿宋" w:eastAsia="仿宋" w:cstheme="minorBidi"/>
              <w:sz w:val="28"/>
              <w:szCs w:val="28"/>
            </w:rPr>
          </w:pPr>
          <w:r>
            <w:fldChar w:fldCharType="begin"/>
          </w:r>
          <w:r>
            <w:instrText xml:space="preserve"> HYPERLINK \l "_Toc240573325" </w:instrText>
          </w:r>
          <w:r>
            <w:fldChar w:fldCharType="separate"/>
          </w:r>
          <w:r>
            <w:rPr>
              <w:rStyle w:val="18"/>
              <w:rFonts w:hint="eastAsia" w:ascii="仿宋" w:hAnsi="仿宋" w:eastAsia="仿宋"/>
              <w:sz w:val="28"/>
              <w:szCs w:val="28"/>
              <w:shd w:val="clear" w:color="auto" w:fill="FFFFFF"/>
              <w:lang w:val="zh-CN"/>
            </w:rPr>
            <w:t>附件</w:t>
          </w:r>
          <w:r>
            <w:rPr>
              <w:rStyle w:val="18"/>
              <w:rFonts w:ascii="仿宋" w:hAnsi="仿宋" w:eastAsia="仿宋"/>
              <w:sz w:val="28"/>
              <w:szCs w:val="28"/>
              <w:shd w:val="clear" w:color="auto" w:fill="FFFFFF"/>
            </w:rPr>
            <w:t>2</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_Toc240573325 \h </w:instrText>
          </w:r>
          <w:r>
            <w:rPr>
              <w:rFonts w:ascii="仿宋" w:hAnsi="仿宋" w:eastAsia="仿宋"/>
              <w:sz w:val="28"/>
              <w:szCs w:val="28"/>
            </w:rPr>
            <w:fldChar w:fldCharType="separate"/>
          </w:r>
          <w:r>
            <w:rPr>
              <w:rFonts w:ascii="仿宋" w:hAnsi="仿宋" w:eastAsia="仿宋"/>
              <w:sz w:val="28"/>
              <w:szCs w:val="28"/>
            </w:rPr>
            <w:t>- 22 -</w:t>
          </w:r>
          <w:r>
            <w:rPr>
              <w:rFonts w:ascii="仿宋" w:hAnsi="仿宋" w:eastAsia="仿宋"/>
              <w:sz w:val="28"/>
              <w:szCs w:val="28"/>
            </w:rPr>
            <w:fldChar w:fldCharType="end"/>
          </w:r>
          <w:r>
            <w:rPr>
              <w:rFonts w:ascii="仿宋" w:hAnsi="仿宋" w:eastAsia="仿宋"/>
              <w:sz w:val="28"/>
              <w:szCs w:val="28"/>
            </w:rPr>
            <w:fldChar w:fldCharType="end"/>
          </w:r>
        </w:p>
        <w:p>
          <w:pPr>
            <w:pStyle w:val="13"/>
            <w:jc w:val="left"/>
            <w:rPr>
              <w:rFonts w:cstheme="minorBidi"/>
            </w:rPr>
          </w:pPr>
          <w:r>
            <w:fldChar w:fldCharType="begin"/>
          </w:r>
          <w:r>
            <w:instrText xml:space="preserve"> HYPERLINK \l "_Toc240573326" </w:instrText>
          </w:r>
          <w:r>
            <w:fldChar w:fldCharType="separate"/>
          </w:r>
          <w:r>
            <w:rPr>
              <w:rStyle w:val="18"/>
              <w:rFonts w:hint="eastAsia" w:cs="方正小标宋简体"/>
            </w:rPr>
            <w:t>第五部分附表</w:t>
          </w:r>
          <w:r>
            <w:tab/>
          </w:r>
          <w:r>
            <w:fldChar w:fldCharType="begin"/>
          </w:r>
          <w:r>
            <w:instrText xml:space="preserve"> PAGEREF _Toc240573326 \h </w:instrText>
          </w:r>
          <w:r>
            <w:fldChar w:fldCharType="separate"/>
          </w:r>
          <w:r>
            <w:t>- 30 -</w:t>
          </w:r>
          <w:r>
            <w:fldChar w:fldCharType="end"/>
          </w:r>
          <w:r>
            <w:fldChar w:fldCharType="end"/>
          </w:r>
        </w:p>
        <w:p>
          <w:pPr>
            <w:jc w:val="left"/>
            <w:rPr>
              <w:rFonts w:ascii="仿宋" w:hAnsi="仿宋" w:eastAsia="仿宋"/>
              <w:sz w:val="28"/>
              <w:szCs w:val="28"/>
            </w:rPr>
          </w:pPr>
          <w:r>
            <w:rPr>
              <w:rFonts w:ascii="仿宋" w:hAnsi="仿宋" w:eastAsia="仿宋"/>
              <w:sz w:val="28"/>
              <w:szCs w:val="28"/>
            </w:rPr>
            <w:fldChar w:fldCharType="end"/>
          </w:r>
        </w:p>
      </w:sdtContent>
    </w:sdt>
    <w:p>
      <w:pPr>
        <w:widowControl/>
        <w:spacing w:line="560" w:lineRule="exact"/>
        <w:jc w:val="left"/>
        <w:rPr>
          <w:rFonts w:eastAsia="仿宋_GB2312" w:cs="仿宋_GB2312"/>
          <w:b/>
          <w:sz w:val="32"/>
          <w:szCs w:val="32"/>
        </w:rPr>
        <w:sectPr>
          <w:footerReference r:id="rId10" w:type="first"/>
          <w:footerReference r:id="rId9" w:type="default"/>
          <w:pgSz w:w="11906" w:h="16838"/>
          <w:pgMar w:top="2098" w:right="1474" w:bottom="1985" w:left="1588" w:header="851" w:footer="992" w:gutter="0"/>
          <w:pgNumType w:fmt="upperRoman" w:start="1"/>
          <w:cols w:space="425" w:num="1"/>
          <w:docGrid w:type="lines" w:linePitch="312" w:charSpace="0"/>
        </w:sectPr>
      </w:pPr>
    </w:p>
    <w:p>
      <w:pPr>
        <w:pStyle w:val="5"/>
        <w:jc w:val="center"/>
        <w:rPr>
          <w:rFonts w:eastAsia="方正小标宋简体" w:cs="方正小标宋简体"/>
          <w:bCs w:val="0"/>
        </w:rPr>
      </w:pPr>
      <w:bookmarkStart w:id="8" w:name="_Toc240571561"/>
      <w:bookmarkStart w:id="9" w:name="_Toc240573308"/>
      <w:bookmarkStart w:id="10" w:name="_Toc240571172"/>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6"/>
      <w:bookmarkEnd w:id="7"/>
      <w:bookmarkEnd w:id="8"/>
      <w:bookmarkEnd w:id="9"/>
      <w:bookmarkEnd w:id="10"/>
    </w:p>
    <w:p>
      <w:pPr>
        <w:pStyle w:val="6"/>
        <w:numPr>
          <w:ilvl w:val="0"/>
          <w:numId w:val="1"/>
        </w:numPr>
        <w:ind w:left="0" w:firstLine="640" w:firstLineChars="200"/>
        <w:rPr>
          <w:rFonts w:ascii="Times New Roman" w:hAnsi="Times New Roman" w:eastAsia="黑体"/>
          <w:b w:val="0"/>
        </w:rPr>
      </w:pPr>
      <w:bookmarkStart w:id="11" w:name="_Toc240571562"/>
      <w:bookmarkStart w:id="12" w:name="_Toc240573309"/>
      <w:bookmarkStart w:id="13" w:name="_Toc240571173"/>
      <w:r>
        <w:rPr>
          <w:rFonts w:hint="eastAsia" w:ascii="Times New Roman" w:hAnsi="Times New Roman" w:eastAsia="黑体"/>
          <w:b w:val="0"/>
        </w:rPr>
        <w:t>部门职责</w:t>
      </w:r>
      <w:bookmarkEnd w:id="11"/>
      <w:bookmarkEnd w:id="12"/>
      <w:bookmarkEnd w:id="13"/>
    </w:p>
    <w:p>
      <w:pPr>
        <w:snapToGrid w:val="0"/>
        <w:spacing w:line="520" w:lineRule="exact"/>
        <w:ind w:firstLine="640" w:firstLineChars="200"/>
        <w:rPr>
          <w:rFonts w:eastAsia="仿宋_GB2312"/>
          <w:sz w:val="32"/>
          <w:szCs w:val="32"/>
        </w:rPr>
      </w:pPr>
      <w:r>
        <w:rPr>
          <w:rFonts w:eastAsia="仿宋_GB2312"/>
          <w:sz w:val="32"/>
          <w:szCs w:val="32"/>
        </w:rPr>
        <w:t>（一）主要职能。1.负责接收、征集全县范围内的重要档案资料，确保档案资料的完整与安全。2.负责全县重大活动和重大项目档案资料管理工作。3.负责对馆藏档案资料进行规范化、科学化保管、保护，对破损、字迹褪变的档案进行抢救、修复，对馆藏国家重点档案的抢救。4.开展馆藏档案信息资源利用工作，为党委和政府决策提供参考。5.负责档案馆馆藏档案资料的汇编、选编、合编等编研工作。6.负责馆藏档案资料的鉴定、查询服务和销毁工作。7.</w:t>
      </w:r>
      <w:r>
        <w:rPr>
          <w:rFonts w:hint="eastAsia" w:eastAsia="仿宋_GB2312"/>
          <w:sz w:val="32"/>
          <w:szCs w:val="32"/>
        </w:rPr>
        <w:t>组织开展馆际合作和业务交流，并提供技术指导。8.</w:t>
      </w:r>
      <w:r>
        <w:rPr>
          <w:rFonts w:eastAsia="仿宋_GB2312"/>
          <w:sz w:val="32"/>
          <w:szCs w:val="32"/>
        </w:rPr>
        <w:t>指导全县各单位档案业务及村（社区）组织的档案工作，做好档案宣传和档案文化建设工作</w:t>
      </w:r>
      <w:r>
        <w:rPr>
          <w:rFonts w:hint="eastAsia" w:eastAsia="仿宋_GB2312"/>
          <w:sz w:val="32"/>
          <w:szCs w:val="32"/>
        </w:rPr>
        <w:t>。9.</w:t>
      </w:r>
      <w:r>
        <w:rPr>
          <w:rFonts w:eastAsia="仿宋_GB2312"/>
          <w:sz w:val="32"/>
          <w:szCs w:val="32"/>
        </w:rPr>
        <w:t>完成县委、县政府交办的其他工作。</w:t>
      </w:r>
    </w:p>
    <w:p>
      <w:pPr>
        <w:snapToGrid w:val="0"/>
        <w:spacing w:line="520" w:lineRule="exact"/>
        <w:ind w:firstLine="640" w:firstLineChars="200"/>
        <w:rPr>
          <w:rFonts w:eastAsia="仿宋_GB2312"/>
          <w:sz w:val="32"/>
          <w:szCs w:val="32"/>
        </w:rPr>
      </w:pPr>
      <w:r>
        <w:rPr>
          <w:rFonts w:eastAsia="仿宋_GB2312"/>
          <w:sz w:val="32"/>
          <w:szCs w:val="32"/>
        </w:rPr>
        <w:t>（二）2025年档案馆紧紧围绕中心工作</w:t>
      </w:r>
      <w:r>
        <w:rPr>
          <w:rFonts w:hint="eastAsia" w:eastAsia="仿宋_GB2312"/>
          <w:sz w:val="32"/>
          <w:szCs w:val="32"/>
        </w:rPr>
        <w:t>，</w:t>
      </w:r>
      <w:r>
        <w:rPr>
          <w:rFonts w:eastAsia="仿宋_GB2312"/>
          <w:sz w:val="32"/>
          <w:szCs w:val="32"/>
        </w:rPr>
        <w:t>全力开展档案征集和移交进馆，全年共接收25个立档单位共31050余件档案进馆，并同步全部开展了数字化扫描和系统挂接；积极面向非机关企事业单位征集有保存利用价值的档案，着力提升档案服务水平；坚持现场查档服务为主，积极开展电话查档、信函查档、电邮查档、跨馆查档等服务，不断提升查档服务便捷性；建立全县档案文化事业编研人才库并动态更新，目前共入库编研人才22人，充分利用和深入挖掘馆藏档案资源，积极会同县党史地志部门开展编研编撰；积极开展档案宣传统计，协助开展监督指导；积极推进数字档案馆建设，全面完成各项工作任务。</w:t>
      </w:r>
    </w:p>
    <w:p>
      <w:pPr>
        <w:pStyle w:val="6"/>
        <w:ind w:firstLine="640" w:firstLineChars="200"/>
        <w:rPr>
          <w:rStyle w:val="29"/>
          <w:rFonts w:ascii="Times New Roman" w:hAnsi="Times New Roman"/>
          <w:b w:val="0"/>
          <w:bCs w:val="0"/>
        </w:rPr>
      </w:pPr>
      <w:bookmarkStart w:id="14" w:name="_Toc240571174"/>
      <w:bookmarkStart w:id="15" w:name="_Toc240573310"/>
      <w:bookmarkStart w:id="16" w:name="_Toc15377200"/>
      <w:bookmarkStart w:id="17" w:name="_Toc240571563"/>
      <w:bookmarkStart w:id="18"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4"/>
      <w:bookmarkEnd w:id="15"/>
      <w:bookmarkEnd w:id="16"/>
      <w:bookmarkEnd w:id="17"/>
      <w:bookmarkEnd w:id="18"/>
    </w:p>
    <w:p>
      <w:pPr>
        <w:snapToGrid w:val="0"/>
        <w:spacing w:line="520" w:lineRule="exact"/>
        <w:ind w:firstLine="640" w:firstLineChars="200"/>
        <w:rPr>
          <w:rFonts w:eastAsia="仿宋_GB2312"/>
          <w:sz w:val="32"/>
          <w:szCs w:val="32"/>
        </w:rPr>
      </w:pPr>
      <w:r>
        <w:rPr>
          <w:rFonts w:eastAsia="仿宋_GB2312"/>
          <w:sz w:val="32"/>
          <w:szCs w:val="32"/>
        </w:rPr>
        <w:t>沐川县档案馆属县委直属参公事业单位，无下属二级预算单位，内设办公室、业务股两个机构，核定参公事业编制6个。</w:t>
      </w:r>
    </w:p>
    <w:p>
      <w:pPr>
        <w:snapToGrid w:val="0"/>
        <w:spacing w:line="520" w:lineRule="exact"/>
        <w:ind w:firstLine="640" w:firstLineChars="200"/>
        <w:rPr>
          <w:rFonts w:eastAsia="仿宋_GB2312"/>
          <w:sz w:val="32"/>
          <w:szCs w:val="32"/>
        </w:rPr>
      </w:pPr>
      <w:r>
        <w:rPr>
          <w:rFonts w:eastAsia="仿宋_GB2312"/>
          <w:sz w:val="32"/>
          <w:szCs w:val="32"/>
        </w:rPr>
        <w:t>无纳入档案馆2025年度部门决算编制范围的二级预算单位。</w:t>
      </w:r>
    </w:p>
    <w:p>
      <w:pPr>
        <w:widowControl/>
        <w:jc w:val="left"/>
        <w:rPr>
          <w:rFonts w:eastAsia="仿宋"/>
          <w:kern w:val="0"/>
          <w:sz w:val="32"/>
          <w:szCs w:val="32"/>
        </w:rPr>
      </w:pPr>
      <w:r>
        <w:rPr>
          <w:rFonts w:eastAsia="仿宋"/>
          <w:sz w:val="32"/>
          <w:szCs w:val="32"/>
        </w:rPr>
        <w:br w:type="page"/>
      </w:r>
    </w:p>
    <w:p>
      <w:pPr>
        <w:pStyle w:val="5"/>
        <w:jc w:val="center"/>
        <w:rPr>
          <w:rFonts w:eastAsia="方正小标宋简体" w:cs="方正小标宋简体"/>
          <w:b w:val="0"/>
        </w:rPr>
      </w:pPr>
      <w:bookmarkStart w:id="19" w:name="_Toc240571564"/>
      <w:bookmarkStart w:id="20" w:name="_Toc240573311"/>
      <w:bookmarkStart w:id="21" w:name="_Toc15377204"/>
      <w:bookmarkStart w:id="22" w:name="_Toc240571175"/>
      <w:bookmarkStart w:id="23" w:name="_Toc15396602"/>
      <w:r>
        <w:rPr>
          <w:rFonts w:hint="eastAsia" w:eastAsia="方正小标宋简体" w:cs="方正小标宋简体"/>
          <w:b w:val="0"/>
        </w:rPr>
        <w:t>第二部分 2025年度部门决算情况说明</w:t>
      </w:r>
      <w:bookmarkEnd w:id="19"/>
      <w:bookmarkEnd w:id="20"/>
      <w:bookmarkEnd w:id="21"/>
      <w:bookmarkEnd w:id="22"/>
      <w:bookmarkEnd w:id="23"/>
    </w:p>
    <w:p>
      <w:pPr>
        <w:spacing w:line="600" w:lineRule="exact"/>
        <w:ind w:firstLine="640" w:firstLineChars="200"/>
        <w:outlineLvl w:val="1"/>
        <w:rPr>
          <w:rStyle w:val="29"/>
          <w:rFonts w:ascii="Times New Roman" w:hAnsi="Times New Roman" w:eastAsia="黑体"/>
          <w:b w:val="0"/>
        </w:rPr>
      </w:pPr>
      <w:bookmarkStart w:id="24" w:name="_Toc240573312"/>
      <w:bookmarkStart w:id="25" w:name="_Toc240571565"/>
      <w:bookmarkStart w:id="26" w:name="_Toc240571176"/>
      <w:bookmarkStart w:id="27" w:name="_Toc15377205"/>
      <w:bookmarkStart w:id="28"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24"/>
      <w:bookmarkEnd w:id="25"/>
      <w:bookmarkEnd w:id="26"/>
      <w:bookmarkEnd w:id="27"/>
      <w:bookmarkEnd w:id="28"/>
    </w:p>
    <w:p>
      <w:pPr>
        <w:snapToGrid w:val="0"/>
        <w:spacing w:line="520" w:lineRule="exact"/>
        <w:ind w:firstLine="640" w:firstLineChars="200"/>
        <w:rPr>
          <w:rFonts w:eastAsia="仿宋_GB2312"/>
          <w:sz w:val="32"/>
          <w:szCs w:val="32"/>
        </w:rPr>
      </w:pPr>
      <w:r>
        <w:rPr>
          <w:rFonts w:eastAsia="仿宋_GB2312"/>
          <w:sz w:val="32"/>
          <w:szCs w:val="32"/>
        </w:rPr>
        <w:drawing>
          <wp:anchor distT="0" distB="0" distL="114300" distR="114300" simplePos="0" relativeHeight="251660288" behindDoc="0" locked="0" layoutInCell="1" allowOverlap="1">
            <wp:simplePos x="0" y="0"/>
            <wp:positionH relativeFrom="column">
              <wp:posOffset>1270</wp:posOffset>
            </wp:positionH>
            <wp:positionV relativeFrom="paragraph">
              <wp:posOffset>1597660</wp:posOffset>
            </wp:positionV>
            <wp:extent cx="5581650" cy="2638425"/>
            <wp:effectExtent l="19050" t="0" r="0" b="0"/>
            <wp:wrapTopAndBottom/>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noChangeArrowheads="1"/>
                    </pic:cNvPicPr>
                  </pic:nvPicPr>
                  <pic:blipFill>
                    <a:blip r:embed="rId12"/>
                    <a:srcRect/>
                    <a:stretch>
                      <a:fillRect/>
                    </a:stretch>
                  </pic:blipFill>
                  <pic:spPr>
                    <a:xfrm>
                      <a:off x="0" y="0"/>
                      <a:ext cx="5581650" cy="2638425"/>
                    </a:xfrm>
                    <a:prstGeom prst="rect">
                      <a:avLst/>
                    </a:prstGeom>
                    <a:noFill/>
                  </pic:spPr>
                </pic:pic>
              </a:graphicData>
            </a:graphic>
          </wp:anchor>
        </w:drawing>
      </w:r>
      <w:bookmarkStart w:id="29" w:name="_Toc240571566"/>
      <w:bookmarkStart w:id="30" w:name="_Toc240571177"/>
      <w:r>
        <w:rPr>
          <w:rFonts w:eastAsia="仿宋_GB2312"/>
          <w:sz w:val="32"/>
          <w:szCs w:val="32"/>
        </w:rPr>
        <w:t>2025年度收入、支出总计均为106.28万元。与上年度相比，收入、支出总计各增加14.03万元，增长15.2%。主要变动原因是本年度支付手动有轨档案密集架及配套设备采购项目质保金、新购库房在线温湿度监控系统等设备设施，并新增1名在职人员。</w:t>
      </w:r>
      <w:bookmarkEnd w:id="29"/>
      <w:bookmarkEnd w:id="30"/>
    </w:p>
    <w:p>
      <w:pPr>
        <w:snapToGrid w:val="0"/>
        <w:spacing w:line="520" w:lineRule="exact"/>
        <w:ind w:firstLine="1120" w:firstLineChars="350"/>
        <w:rPr>
          <w:rFonts w:eastAsia="仿宋_GB2312"/>
          <w:sz w:val="32"/>
          <w:szCs w:val="32"/>
        </w:rPr>
      </w:pPr>
      <w:bookmarkStart w:id="31" w:name="_Toc240571567"/>
      <w:bookmarkStart w:id="32" w:name="_Toc240571178"/>
      <w:r>
        <w:rPr>
          <w:rFonts w:eastAsia="仿宋_GB2312"/>
          <w:sz w:val="32"/>
          <w:szCs w:val="32"/>
        </w:rPr>
        <w:t>（图1：收入、支出决算总计变动情况图）</w:t>
      </w:r>
      <w:bookmarkEnd w:id="31"/>
      <w:bookmarkEnd w:id="32"/>
    </w:p>
    <w:p>
      <w:pPr>
        <w:spacing w:line="600" w:lineRule="exact"/>
        <w:ind w:firstLine="640" w:firstLineChars="200"/>
        <w:outlineLvl w:val="1"/>
        <w:rPr>
          <w:rFonts w:eastAsia="黑体"/>
          <w:sz w:val="32"/>
          <w:szCs w:val="32"/>
        </w:rPr>
      </w:pPr>
      <w:bookmarkStart w:id="33" w:name="_Toc15377206"/>
      <w:bookmarkStart w:id="34" w:name="_Toc240571179"/>
      <w:bookmarkStart w:id="35" w:name="_Toc240573313"/>
      <w:bookmarkStart w:id="36" w:name="_Toc15396604"/>
      <w:bookmarkStart w:id="37" w:name="_Toc240571568"/>
      <w:r>
        <w:rPr>
          <w:rFonts w:hint="eastAsia" w:eastAsia="黑体"/>
          <w:sz w:val="32"/>
          <w:szCs w:val="32"/>
        </w:rPr>
        <w:t>二、收入决算情况说明</w:t>
      </w:r>
      <w:bookmarkEnd w:id="33"/>
      <w:bookmarkEnd w:id="34"/>
      <w:bookmarkEnd w:id="35"/>
      <w:bookmarkEnd w:id="36"/>
      <w:bookmarkEnd w:id="37"/>
    </w:p>
    <w:p>
      <w:pPr>
        <w:snapToGrid w:val="0"/>
        <w:spacing w:line="520" w:lineRule="exact"/>
        <w:ind w:firstLine="640" w:firstLineChars="200"/>
        <w:rPr>
          <w:rFonts w:eastAsia="仿宋_GB2312"/>
          <w:sz w:val="32"/>
          <w:szCs w:val="32"/>
        </w:rPr>
      </w:pPr>
      <w:bookmarkStart w:id="38" w:name="_Toc240571180"/>
      <w:bookmarkStart w:id="39" w:name="_Toc240571569"/>
      <w:r>
        <w:rPr>
          <w:rFonts w:eastAsia="仿宋_GB2312"/>
          <w:sz w:val="32"/>
          <w:szCs w:val="32"/>
        </w:rPr>
        <w:t>2025年度本年收入合计106.28万元，其中：一般公共预算财政拨款收入100.28万元，占94.35%；国有资本经营预算财政拨款收入6万元，占5.65%。</w:t>
      </w:r>
      <w:bookmarkEnd w:id="38"/>
      <w:bookmarkEnd w:id="39"/>
    </w:p>
    <w:p>
      <w:pPr>
        <w:snapToGrid w:val="0"/>
        <w:spacing w:line="520" w:lineRule="exact"/>
        <w:ind w:firstLine="640" w:firstLineChars="200"/>
        <w:rPr>
          <w:rFonts w:eastAsia="仿宋_GB2312"/>
          <w:sz w:val="32"/>
          <w:szCs w:val="32"/>
        </w:rPr>
      </w:pPr>
    </w:p>
    <w:p>
      <w:pPr>
        <w:snapToGrid w:val="0"/>
        <w:spacing w:line="520" w:lineRule="exact"/>
        <w:ind w:firstLine="2240" w:firstLineChars="700"/>
        <w:rPr>
          <w:rFonts w:eastAsia="仿宋_GB2312"/>
          <w:sz w:val="32"/>
          <w:szCs w:val="32"/>
        </w:rPr>
      </w:pPr>
      <w:r>
        <w:rPr>
          <w:rFonts w:hint="eastAsia" w:eastAsia="仿宋_GB2312"/>
          <w:sz w:val="32"/>
          <w:szCs w:val="32"/>
        </w:rPr>
        <w:drawing>
          <wp:anchor distT="0" distB="0" distL="114300" distR="114300" simplePos="0" relativeHeight="251659264" behindDoc="0" locked="0" layoutInCell="1" allowOverlap="1">
            <wp:simplePos x="0" y="0"/>
            <wp:positionH relativeFrom="column">
              <wp:posOffset>418465</wp:posOffset>
            </wp:positionH>
            <wp:positionV relativeFrom="paragraph">
              <wp:posOffset>76200</wp:posOffset>
            </wp:positionV>
            <wp:extent cx="4791710" cy="2924175"/>
            <wp:effectExtent l="19050" t="0" r="8890" b="0"/>
            <wp:wrapTopAndBottom/>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noChangeArrowheads="1"/>
                    </pic:cNvPicPr>
                  </pic:nvPicPr>
                  <pic:blipFill>
                    <a:blip r:embed="rId13"/>
                    <a:srcRect/>
                    <a:stretch>
                      <a:fillRect/>
                    </a:stretch>
                  </pic:blipFill>
                  <pic:spPr>
                    <a:xfrm>
                      <a:off x="0" y="0"/>
                      <a:ext cx="4791710" cy="2924175"/>
                    </a:xfrm>
                    <a:prstGeom prst="rect">
                      <a:avLst/>
                    </a:prstGeom>
                    <a:noFill/>
                  </pic:spPr>
                </pic:pic>
              </a:graphicData>
            </a:graphic>
          </wp:anchor>
        </w:drawing>
      </w:r>
      <w:bookmarkStart w:id="40" w:name="_Toc240571570"/>
      <w:bookmarkStart w:id="41" w:name="_Toc240571181"/>
      <w:r>
        <w:rPr>
          <w:rFonts w:hint="eastAsia" w:eastAsia="仿宋_GB2312"/>
          <w:sz w:val="32"/>
          <w:szCs w:val="32"/>
        </w:rPr>
        <w:t>（图2：收入决算结构图）</w:t>
      </w:r>
      <w:bookmarkEnd w:id="40"/>
      <w:bookmarkEnd w:id="41"/>
    </w:p>
    <w:p>
      <w:pPr>
        <w:spacing w:line="600" w:lineRule="exact"/>
        <w:ind w:firstLine="420" w:firstLineChars="200"/>
        <w:outlineLvl w:val="1"/>
        <w:rPr>
          <w:rStyle w:val="29"/>
          <w:rFonts w:ascii="Times New Roman" w:hAnsi="Times New Roman" w:eastAsia="黑体"/>
          <w:b w:val="0"/>
        </w:rPr>
      </w:pPr>
      <w:bookmarkStart w:id="42" w:name="_Toc240571571"/>
      <w:bookmarkStart w:id="43" w:name="_Toc240573314"/>
      <w:bookmarkStart w:id="44" w:name="_Toc240571182"/>
      <w:bookmarkStart w:id="45" w:name="_Toc15377207"/>
      <w:bookmarkStart w:id="46" w:name="_Toc15396605"/>
      <w:r>
        <w:rPr>
          <w:rFonts w:hint="eastAsia"/>
        </w:rPr>
        <w:drawing>
          <wp:anchor distT="0" distB="0" distL="114300" distR="114300" simplePos="0" relativeHeight="251663360" behindDoc="0" locked="0" layoutInCell="1" allowOverlap="1">
            <wp:simplePos x="0" y="0"/>
            <wp:positionH relativeFrom="column">
              <wp:posOffset>420370</wp:posOffset>
            </wp:positionH>
            <wp:positionV relativeFrom="paragraph">
              <wp:posOffset>1328420</wp:posOffset>
            </wp:positionV>
            <wp:extent cx="4876800" cy="2924175"/>
            <wp:effectExtent l="1905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4"/>
                    <a:srcRect/>
                    <a:stretch>
                      <a:fillRect/>
                    </a:stretch>
                  </pic:blipFill>
                  <pic:spPr>
                    <a:xfrm>
                      <a:off x="0" y="0"/>
                      <a:ext cx="4876800" cy="2924175"/>
                    </a:xfrm>
                    <a:prstGeom prst="rect">
                      <a:avLst/>
                    </a:prstGeom>
                    <a:noFill/>
                  </pic:spPr>
                </pic:pic>
              </a:graphicData>
            </a:graphic>
          </wp:anchor>
        </w:drawing>
      </w:r>
      <w:r>
        <w:rPr>
          <w:rFonts w:hint="eastAsia" w:eastAsia="黑体"/>
          <w:sz w:val="32"/>
          <w:szCs w:val="32"/>
        </w:rPr>
        <w:t>三、支</w:t>
      </w:r>
      <w:r>
        <w:rPr>
          <w:rStyle w:val="29"/>
          <w:rFonts w:hint="eastAsia" w:ascii="Times New Roman" w:hAnsi="Times New Roman" w:eastAsia="黑体"/>
          <w:b w:val="0"/>
        </w:rPr>
        <w:t>出决算情况说明</w:t>
      </w:r>
      <w:bookmarkEnd w:id="42"/>
      <w:bookmarkEnd w:id="43"/>
      <w:bookmarkEnd w:id="44"/>
      <w:bookmarkEnd w:id="45"/>
      <w:bookmarkEnd w:id="46"/>
    </w:p>
    <w:p>
      <w:pPr>
        <w:spacing w:line="600" w:lineRule="exact"/>
        <w:ind w:firstLine="640" w:firstLineChars="200"/>
        <w:rPr>
          <w:rFonts w:eastAsia="仿宋_GB2312"/>
          <w:sz w:val="32"/>
          <w:szCs w:val="32"/>
        </w:rPr>
      </w:pPr>
      <w:bookmarkStart w:id="47" w:name="_Toc240571572"/>
      <w:bookmarkStart w:id="48" w:name="_Toc240571183"/>
      <w:r>
        <w:rPr>
          <w:rFonts w:eastAsia="仿宋_GB2312"/>
          <w:sz w:val="32"/>
          <w:szCs w:val="32"/>
        </w:rPr>
        <w:t>2025年度本年支出合计106.28万元，其中：基本支出92.8万元，占87.3</w:t>
      </w:r>
      <w:r>
        <w:rPr>
          <w:rFonts w:hint="eastAsia" w:eastAsia="仿宋_GB2312"/>
          <w:sz w:val="32"/>
          <w:szCs w:val="32"/>
        </w:rPr>
        <w:t>2</w:t>
      </w:r>
      <w:r>
        <w:rPr>
          <w:rFonts w:eastAsia="仿宋_GB2312"/>
          <w:sz w:val="32"/>
          <w:szCs w:val="32"/>
        </w:rPr>
        <w:t>%；项目支出13.4</w:t>
      </w:r>
      <w:r>
        <w:rPr>
          <w:rFonts w:hint="eastAsia" w:eastAsia="仿宋_GB2312"/>
          <w:sz w:val="32"/>
          <w:szCs w:val="32"/>
        </w:rPr>
        <w:t>8</w:t>
      </w:r>
      <w:r>
        <w:rPr>
          <w:rFonts w:eastAsia="仿宋_GB2312"/>
          <w:sz w:val="32"/>
          <w:szCs w:val="32"/>
        </w:rPr>
        <w:t>万元，占12.6</w:t>
      </w:r>
      <w:r>
        <w:rPr>
          <w:rFonts w:hint="eastAsia" w:eastAsia="仿宋_GB2312"/>
          <w:sz w:val="32"/>
          <w:szCs w:val="32"/>
        </w:rPr>
        <w:t>8</w:t>
      </w:r>
      <w:r>
        <w:rPr>
          <w:rFonts w:eastAsia="仿宋_GB2312"/>
          <w:sz w:val="32"/>
          <w:szCs w:val="32"/>
        </w:rPr>
        <w:t>%。</w:t>
      </w:r>
      <w:bookmarkEnd w:id="47"/>
      <w:bookmarkEnd w:id="48"/>
    </w:p>
    <w:p>
      <w:pPr>
        <w:spacing w:line="600" w:lineRule="exact"/>
        <w:ind w:firstLine="2080" w:firstLineChars="650"/>
        <w:rPr>
          <w:rFonts w:eastAsia="仿宋_GB2312"/>
          <w:sz w:val="32"/>
          <w:szCs w:val="32"/>
        </w:rPr>
      </w:pPr>
      <w:bookmarkStart w:id="49" w:name="_Toc240571573"/>
      <w:bookmarkStart w:id="50" w:name="_Toc240571184"/>
      <w:r>
        <w:rPr>
          <w:rFonts w:hint="eastAsia" w:eastAsia="仿宋_GB2312"/>
          <w:sz w:val="32"/>
          <w:szCs w:val="32"/>
        </w:rPr>
        <w:t>（图3：支出决算结构图）</w:t>
      </w:r>
      <w:bookmarkEnd w:id="49"/>
      <w:bookmarkEnd w:id="50"/>
    </w:p>
    <w:p>
      <w:pPr>
        <w:spacing w:line="600" w:lineRule="exact"/>
        <w:ind w:firstLine="640" w:firstLineChars="200"/>
        <w:outlineLvl w:val="1"/>
        <w:rPr>
          <w:rStyle w:val="29"/>
          <w:rFonts w:ascii="Times New Roman" w:hAnsi="Times New Roman" w:eastAsia="黑体"/>
          <w:b w:val="0"/>
        </w:rPr>
      </w:pPr>
      <w:bookmarkStart w:id="51" w:name="_Toc15396606"/>
      <w:bookmarkStart w:id="52" w:name="_Toc240571185"/>
      <w:bookmarkStart w:id="53" w:name="_Toc15377208"/>
      <w:bookmarkStart w:id="54" w:name="_Toc240571574"/>
      <w:bookmarkStart w:id="55" w:name="_Toc240573315"/>
      <w:r>
        <w:rPr>
          <w:rFonts w:hint="eastAsia" w:eastAsia="黑体"/>
          <w:sz w:val="32"/>
          <w:szCs w:val="32"/>
        </w:rPr>
        <w:t>四、财</w:t>
      </w:r>
      <w:r>
        <w:rPr>
          <w:rStyle w:val="29"/>
          <w:rFonts w:hint="eastAsia" w:ascii="Times New Roman" w:hAnsi="Times New Roman" w:eastAsia="黑体"/>
          <w:b w:val="0"/>
        </w:rPr>
        <w:t>政拨款收入支出决算总体情况说明</w:t>
      </w:r>
      <w:bookmarkEnd w:id="51"/>
      <w:bookmarkEnd w:id="52"/>
      <w:bookmarkEnd w:id="53"/>
      <w:bookmarkEnd w:id="54"/>
      <w:bookmarkEnd w:id="55"/>
    </w:p>
    <w:p>
      <w:pPr>
        <w:spacing w:line="600" w:lineRule="exact"/>
        <w:ind w:firstLine="640" w:firstLineChars="200"/>
        <w:rPr>
          <w:rFonts w:eastAsia="仿宋_GB2312"/>
          <w:sz w:val="32"/>
          <w:szCs w:val="32"/>
        </w:rPr>
      </w:pPr>
      <w:r>
        <w:rPr>
          <w:rFonts w:eastAsia="仿宋_GB2312"/>
          <w:sz w:val="32"/>
          <w:szCs w:val="32"/>
        </w:rPr>
        <w:t>2025年度财政拨款收入、支出总计均为106.28万元。与上年度相比，财政拨款收入、支出总计各增加14.03万元，增长15.2%。主要变动原因是本年度支付手动有轨档案密集架及配套设备采购项目质保金、新购库房在线温湿度监控系统等设备设施，并新增1名在职人员。</w:t>
      </w:r>
    </w:p>
    <w:p>
      <w:pPr>
        <w:pStyle w:val="2"/>
      </w:pPr>
      <w:r>
        <w:drawing>
          <wp:inline distT="0" distB="0" distL="0" distR="0">
            <wp:extent cx="5316220" cy="2536190"/>
            <wp:effectExtent l="19050" t="0" r="0" b="0"/>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noChangeArrowheads="1"/>
                    </pic:cNvPicPr>
                  </pic:nvPicPr>
                  <pic:blipFill>
                    <a:blip r:embed="rId15"/>
                    <a:srcRect/>
                    <a:stretch>
                      <a:fillRect/>
                    </a:stretch>
                  </pic:blipFill>
                  <pic:spPr>
                    <a:xfrm>
                      <a:off x="0" y="0"/>
                      <a:ext cx="5316220" cy="2536190"/>
                    </a:xfrm>
                    <a:prstGeom prst="rect">
                      <a:avLst/>
                    </a:prstGeom>
                    <a:noFill/>
                  </pic:spPr>
                </pic:pic>
              </a:graphicData>
            </a:graphic>
          </wp:inline>
        </w:drawing>
      </w:r>
    </w:p>
    <w:p>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firstLineChars="200"/>
        <w:outlineLvl w:val="1"/>
        <w:rPr>
          <w:rStyle w:val="29"/>
          <w:rFonts w:ascii="Times New Roman" w:hAnsi="Times New Roman" w:eastAsia="黑体"/>
          <w:b w:val="0"/>
        </w:rPr>
      </w:pPr>
      <w:bookmarkStart w:id="56" w:name="_Toc15396607"/>
      <w:bookmarkStart w:id="57" w:name="_Toc240571575"/>
      <w:bookmarkStart w:id="58" w:name="_Toc240571186"/>
      <w:bookmarkStart w:id="59" w:name="_Toc15377209"/>
      <w:bookmarkStart w:id="60" w:name="_Toc240573316"/>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56"/>
      <w:bookmarkEnd w:id="57"/>
      <w:bookmarkEnd w:id="58"/>
      <w:bookmarkEnd w:id="59"/>
      <w:bookmarkEnd w:id="60"/>
    </w:p>
    <w:p>
      <w:pPr>
        <w:spacing w:line="600" w:lineRule="exact"/>
        <w:ind w:firstLine="640"/>
        <w:rPr>
          <w:rFonts w:eastAsia="楷体_GB2312" w:cs="楷体_GB2312"/>
          <w:b/>
          <w:sz w:val="32"/>
          <w:szCs w:val="32"/>
        </w:rPr>
      </w:pPr>
      <w:bookmarkStart w:id="61" w:name="_Toc15377210"/>
      <w:bookmarkStart w:id="62" w:name="_Toc240571187"/>
      <w:bookmarkStart w:id="63" w:name="_Toc240571576"/>
      <w:r>
        <w:rPr>
          <w:rFonts w:hint="eastAsia" w:eastAsia="楷体_GB2312" w:cs="楷体_GB2312"/>
          <w:b/>
          <w:sz w:val="32"/>
          <w:szCs w:val="32"/>
        </w:rPr>
        <w:t>（一）一般公共预算财政拨款支出决算总体情况</w:t>
      </w:r>
      <w:bookmarkEnd w:id="61"/>
      <w:bookmarkEnd w:id="62"/>
      <w:bookmarkEnd w:id="63"/>
    </w:p>
    <w:p>
      <w:pPr>
        <w:spacing w:line="600" w:lineRule="exact"/>
        <w:ind w:firstLine="640" w:firstLineChars="200"/>
        <w:rPr>
          <w:rFonts w:eastAsia="仿宋_GB2312"/>
          <w:sz w:val="32"/>
          <w:szCs w:val="32"/>
        </w:rPr>
      </w:pPr>
      <w:r>
        <w:rPr>
          <w:rFonts w:eastAsia="仿宋_GB2312"/>
          <w:sz w:val="32"/>
          <w:szCs w:val="32"/>
        </w:rPr>
        <w:t>2025年度一般公共预算财政拨款支出100.28万元，占本年支出合计的94.35%。与上年度相比，一般公共预算财政拨款支出增加8.53万元，增长9.29%。主要变动原因是本年度新增1名在职人员。</w:t>
      </w:r>
    </w:p>
    <w:p>
      <w:pPr>
        <w:pStyle w:val="2"/>
      </w:pPr>
      <w:r>
        <w:drawing>
          <wp:inline distT="0" distB="0" distL="0" distR="0">
            <wp:extent cx="5255260" cy="2664460"/>
            <wp:effectExtent l="19050" t="0" r="2540" b="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noChangeArrowheads="1"/>
                    </pic:cNvPicPr>
                  </pic:nvPicPr>
                  <pic:blipFill>
                    <a:blip r:embed="rId16"/>
                    <a:srcRect/>
                    <a:stretch>
                      <a:fillRect/>
                    </a:stretch>
                  </pic:blipFill>
                  <pic:spPr>
                    <a:xfrm>
                      <a:off x="0" y="0"/>
                      <a:ext cx="5255260" cy="2664460"/>
                    </a:xfrm>
                    <a:prstGeom prst="rect">
                      <a:avLst/>
                    </a:prstGeom>
                    <a:noFill/>
                  </pic:spPr>
                </pic:pic>
              </a:graphicData>
            </a:graphic>
          </wp:inline>
        </w:drawing>
      </w: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0"/>
        <w:rPr>
          <w:rFonts w:eastAsia="楷体_GB2312" w:cs="楷体_GB2312"/>
          <w:b/>
          <w:sz w:val="32"/>
          <w:szCs w:val="32"/>
        </w:rPr>
      </w:pPr>
      <w:bookmarkStart w:id="64" w:name="_Toc15377211"/>
      <w:bookmarkStart w:id="65" w:name="_Toc240571577"/>
      <w:bookmarkStart w:id="66" w:name="_Toc240571188"/>
      <w:r>
        <w:rPr>
          <w:rFonts w:hint="eastAsia" w:eastAsia="楷体_GB2312" w:cs="楷体_GB2312"/>
          <w:b/>
          <w:sz w:val="32"/>
          <w:szCs w:val="32"/>
        </w:rPr>
        <w:t>（二）一般公共预算财政拨款支出决算结构情况</w:t>
      </w:r>
      <w:bookmarkEnd w:id="64"/>
      <w:bookmarkEnd w:id="65"/>
      <w:bookmarkEnd w:id="66"/>
    </w:p>
    <w:p>
      <w:pPr>
        <w:spacing w:line="600" w:lineRule="exact"/>
        <w:ind w:firstLine="640"/>
        <w:rPr>
          <w:rFonts w:eastAsia="仿宋_GB2312"/>
          <w:sz w:val="32"/>
          <w:szCs w:val="32"/>
        </w:rPr>
      </w:pPr>
      <w:r>
        <w:rPr>
          <w:rFonts w:eastAsia="仿宋_GB2312"/>
          <w:sz w:val="32"/>
          <w:szCs w:val="32"/>
        </w:rPr>
        <w:drawing>
          <wp:anchor distT="0" distB="0" distL="114300" distR="114300" simplePos="0" relativeHeight="251661312" behindDoc="0" locked="0" layoutInCell="1" allowOverlap="1">
            <wp:simplePos x="0" y="0"/>
            <wp:positionH relativeFrom="column">
              <wp:posOffset>19050</wp:posOffset>
            </wp:positionH>
            <wp:positionV relativeFrom="paragraph">
              <wp:posOffset>1526540</wp:posOffset>
            </wp:positionV>
            <wp:extent cx="5095875" cy="3376295"/>
            <wp:effectExtent l="19050" t="0" r="9525" b="0"/>
            <wp:wrapTopAndBottom/>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noChangeArrowheads="1"/>
                    </pic:cNvPicPr>
                  </pic:nvPicPr>
                  <pic:blipFill>
                    <a:blip r:embed="rId17"/>
                    <a:srcRect/>
                    <a:stretch>
                      <a:fillRect/>
                    </a:stretch>
                  </pic:blipFill>
                  <pic:spPr>
                    <a:xfrm>
                      <a:off x="0" y="0"/>
                      <a:ext cx="5095875" cy="3376295"/>
                    </a:xfrm>
                    <a:prstGeom prst="rect">
                      <a:avLst/>
                    </a:prstGeom>
                    <a:noFill/>
                  </pic:spPr>
                </pic:pic>
              </a:graphicData>
            </a:graphic>
          </wp:anchor>
        </w:drawing>
      </w:r>
      <w:r>
        <w:rPr>
          <w:rFonts w:eastAsia="仿宋_GB2312"/>
          <w:sz w:val="32"/>
          <w:szCs w:val="32"/>
        </w:rPr>
        <w:t>2025年度一般公共预算财政拨款支出100.28万元，主要用于以下方面：一般公共服务支出80.06万元，占79.84%；社会保障和就业支出8.87万元，占8.85%；卫生健康支出4万元，占3.98%；住房保障支出7.35万元，占7.33%。</w:t>
      </w:r>
    </w:p>
    <w:p>
      <w:pPr>
        <w:pStyle w:val="2"/>
      </w:pP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w:t>
      </w:r>
    </w:p>
    <w:p>
      <w:pPr>
        <w:spacing w:line="600" w:lineRule="exact"/>
        <w:ind w:firstLine="640"/>
        <w:rPr>
          <w:rFonts w:eastAsia="楷体_GB2312" w:cs="楷体_GB2312"/>
          <w:b/>
          <w:sz w:val="32"/>
          <w:szCs w:val="32"/>
        </w:rPr>
      </w:pPr>
      <w:bookmarkStart w:id="67" w:name="_Toc240571189"/>
      <w:bookmarkStart w:id="68" w:name="_Toc240571578"/>
      <w:bookmarkStart w:id="69" w:name="_Toc15377212"/>
      <w:r>
        <w:rPr>
          <w:rFonts w:hint="eastAsia" w:eastAsia="楷体_GB2312" w:cs="楷体_GB2312"/>
          <w:b/>
          <w:sz w:val="32"/>
          <w:szCs w:val="32"/>
        </w:rPr>
        <w:t>（三）一般公共预算财政拨款支出决算具体情况</w:t>
      </w:r>
      <w:bookmarkEnd w:id="67"/>
      <w:bookmarkEnd w:id="68"/>
      <w:bookmarkEnd w:id="69"/>
    </w:p>
    <w:p>
      <w:pPr>
        <w:spacing w:line="600" w:lineRule="exact"/>
        <w:ind w:firstLine="640"/>
        <w:rPr>
          <w:rFonts w:eastAsia="仿宋_GB2312"/>
          <w:sz w:val="32"/>
          <w:szCs w:val="32"/>
        </w:rPr>
      </w:pPr>
      <w:bookmarkStart w:id="70" w:name="_Toc15378460"/>
      <w:bookmarkStart w:id="71" w:name="_Toc15377444"/>
      <w:bookmarkStart w:id="72" w:name="_Toc15377213"/>
      <w:r>
        <w:rPr>
          <w:rFonts w:eastAsia="仿宋_GB2312"/>
          <w:sz w:val="32"/>
          <w:szCs w:val="32"/>
        </w:rPr>
        <w:t>2025年度一般公共预算支出决算数为100.28</w:t>
      </w:r>
      <w:r>
        <w:rPr>
          <w:rFonts w:hAnsi="仿宋_GB2312" w:eastAsia="仿宋_GB2312"/>
          <w:sz w:val="32"/>
          <w:szCs w:val="32"/>
        </w:rPr>
        <w:t>万元</w:t>
      </w:r>
      <w:r>
        <w:rPr>
          <w:rFonts w:eastAsia="仿宋_GB2312"/>
          <w:sz w:val="32"/>
          <w:szCs w:val="32"/>
        </w:rPr>
        <w:t>，完成预算100%。其中：</w:t>
      </w:r>
      <w:bookmarkEnd w:id="70"/>
      <w:bookmarkEnd w:id="71"/>
      <w:bookmarkEnd w:id="72"/>
    </w:p>
    <w:p>
      <w:pPr>
        <w:spacing w:line="600" w:lineRule="exact"/>
        <w:ind w:firstLine="640"/>
        <w:rPr>
          <w:rFonts w:eastAsia="仿宋_GB2312"/>
          <w:sz w:val="32"/>
          <w:szCs w:val="32"/>
        </w:rPr>
      </w:pPr>
      <w:r>
        <w:rPr>
          <w:rFonts w:eastAsia="仿宋_GB2312"/>
          <w:sz w:val="32"/>
          <w:szCs w:val="32"/>
        </w:rPr>
        <w:t>1.一般公共服务（类）档案事务（款）行政运行（项）：支出决算为72.57万元，完成预算100%，决算数等于预算数。</w:t>
      </w:r>
    </w:p>
    <w:p>
      <w:pPr>
        <w:spacing w:line="600" w:lineRule="exact"/>
        <w:ind w:firstLine="640"/>
        <w:rPr>
          <w:rFonts w:eastAsia="仿宋_GB2312"/>
          <w:sz w:val="32"/>
          <w:szCs w:val="32"/>
        </w:rPr>
      </w:pPr>
      <w:r>
        <w:rPr>
          <w:rFonts w:eastAsia="仿宋_GB2312"/>
          <w:sz w:val="32"/>
          <w:szCs w:val="32"/>
        </w:rPr>
        <w:t>2.一般公共服务（类）档案事务（款）档案馆（项）：支出决算为7.49万元，完成预算100%，决算数等于预算数。</w:t>
      </w:r>
    </w:p>
    <w:p>
      <w:pPr>
        <w:spacing w:line="600" w:lineRule="exact"/>
        <w:ind w:firstLine="640"/>
        <w:rPr>
          <w:rFonts w:eastAsia="仿宋_GB2312"/>
          <w:sz w:val="32"/>
          <w:szCs w:val="32"/>
        </w:rPr>
      </w:pPr>
      <w:r>
        <w:rPr>
          <w:rFonts w:eastAsia="仿宋_GB2312"/>
          <w:sz w:val="32"/>
          <w:szCs w:val="32"/>
        </w:rPr>
        <w:t>3.社会保障和就业（类）行政事业单位养老支出（款）机关事业单位基本养老保险缴费支出（项）：支出决算为8.76万元，完成预算100%，决算数等于预算数。</w:t>
      </w:r>
    </w:p>
    <w:p>
      <w:pPr>
        <w:spacing w:line="600" w:lineRule="exact"/>
        <w:ind w:firstLine="640"/>
        <w:rPr>
          <w:rFonts w:eastAsia="仿宋_GB2312"/>
          <w:sz w:val="32"/>
          <w:szCs w:val="32"/>
        </w:rPr>
      </w:pPr>
      <w:r>
        <w:rPr>
          <w:rFonts w:eastAsia="仿宋_GB2312"/>
          <w:sz w:val="32"/>
          <w:szCs w:val="32"/>
        </w:rPr>
        <w:t>4.社会保障和就业（类）其他社会保障和就业支出（款）其他社会保障和就业支出（项）：支出决算为0.11万元，完成预算100%，决算数等于预算数。</w:t>
      </w:r>
    </w:p>
    <w:p>
      <w:pPr>
        <w:spacing w:line="600" w:lineRule="exact"/>
        <w:ind w:firstLine="640"/>
        <w:rPr>
          <w:rFonts w:eastAsia="仿宋_GB2312"/>
          <w:sz w:val="32"/>
          <w:szCs w:val="32"/>
        </w:rPr>
      </w:pPr>
      <w:r>
        <w:rPr>
          <w:rFonts w:eastAsia="仿宋_GB2312"/>
          <w:sz w:val="32"/>
          <w:szCs w:val="32"/>
        </w:rPr>
        <w:t>5.卫生健康（类）行政事业单位医疗（款）行政单位医疗（项）：支出决算为3.34万元，完成预算100%，决算数等于预算数。</w:t>
      </w:r>
    </w:p>
    <w:p>
      <w:pPr>
        <w:spacing w:line="600" w:lineRule="exact"/>
        <w:ind w:firstLine="640"/>
        <w:rPr>
          <w:rFonts w:eastAsia="仿宋_GB2312"/>
          <w:sz w:val="32"/>
          <w:szCs w:val="32"/>
        </w:rPr>
      </w:pPr>
      <w:r>
        <w:rPr>
          <w:rFonts w:eastAsia="仿宋_GB2312"/>
          <w:sz w:val="32"/>
          <w:szCs w:val="32"/>
        </w:rPr>
        <w:t>6.卫生健康（类）行政事业单位医疗（款）公务员医疗补助（项）：支出决算为0.66万元，完成预算100%，决算数等于预算数。</w:t>
      </w:r>
    </w:p>
    <w:p>
      <w:pPr>
        <w:spacing w:line="600" w:lineRule="exact"/>
        <w:ind w:firstLine="640"/>
        <w:rPr>
          <w:rFonts w:eastAsia="仿宋_GB2312"/>
          <w:b/>
          <w:bCs/>
          <w:sz w:val="32"/>
          <w:szCs w:val="32"/>
        </w:rPr>
      </w:pPr>
      <w:r>
        <w:rPr>
          <w:rFonts w:eastAsia="仿宋_GB2312"/>
          <w:sz w:val="32"/>
          <w:szCs w:val="32"/>
        </w:rPr>
        <w:t>7. 住房保障支出（类）住房改革支出（款）住房公积金（项）：支出决算为7.35万元，完成预算100%，决算数等于预算数。</w:t>
      </w:r>
    </w:p>
    <w:p>
      <w:pPr>
        <w:tabs>
          <w:tab w:val="right" w:pos="8306"/>
        </w:tabs>
        <w:spacing w:line="600" w:lineRule="exact"/>
        <w:ind w:firstLine="640" w:firstLineChars="200"/>
        <w:outlineLvl w:val="1"/>
        <w:rPr>
          <w:rStyle w:val="29"/>
          <w:rFonts w:ascii="Times New Roman" w:hAnsi="Times New Roman"/>
        </w:rPr>
      </w:pPr>
      <w:bookmarkStart w:id="73" w:name="_Toc240571190"/>
      <w:bookmarkStart w:id="74" w:name="_Toc15377214"/>
      <w:bookmarkStart w:id="75" w:name="_Toc240571579"/>
      <w:bookmarkStart w:id="76" w:name="_Toc15396608"/>
      <w:bookmarkStart w:id="77" w:name="_Toc240573317"/>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73"/>
      <w:bookmarkEnd w:id="74"/>
      <w:bookmarkEnd w:id="75"/>
      <w:bookmarkEnd w:id="76"/>
      <w:bookmarkEnd w:id="77"/>
    </w:p>
    <w:p>
      <w:pPr>
        <w:spacing w:line="600" w:lineRule="exact"/>
        <w:ind w:firstLine="640"/>
        <w:rPr>
          <w:rFonts w:eastAsia="仿宋_GB2312"/>
          <w:sz w:val="32"/>
          <w:szCs w:val="32"/>
        </w:rPr>
      </w:pPr>
      <w:r>
        <w:rPr>
          <w:rFonts w:eastAsia="仿宋_GB2312"/>
          <w:sz w:val="32"/>
          <w:szCs w:val="32"/>
        </w:rPr>
        <w:t>2025年度一般公共预算财政拨款基本支出92.8万元，其中：</w:t>
      </w:r>
    </w:p>
    <w:p>
      <w:pPr>
        <w:spacing w:line="600" w:lineRule="exact"/>
        <w:ind w:firstLine="640"/>
        <w:rPr>
          <w:rFonts w:eastAsia="仿宋_GB2312"/>
          <w:sz w:val="32"/>
          <w:szCs w:val="32"/>
        </w:rPr>
      </w:pPr>
      <w:r>
        <w:rPr>
          <w:rFonts w:eastAsia="仿宋_GB2312"/>
          <w:sz w:val="32"/>
          <w:szCs w:val="32"/>
        </w:rPr>
        <w:t>人员经费81.52万元，主要包括：基本工资、津贴补贴、奖金、机关事业单位基本养老保险缴费、职工基本医疗保险缴费、其他社会保障缴费、其他工资福利支出、公务员医疗补助缴费、住房公积金等。</w:t>
      </w:r>
    </w:p>
    <w:p>
      <w:pPr>
        <w:spacing w:line="600" w:lineRule="exact"/>
        <w:ind w:firstLine="640"/>
        <w:rPr>
          <w:rFonts w:eastAsia="仿宋_GB2312"/>
          <w:sz w:val="32"/>
          <w:szCs w:val="32"/>
        </w:rPr>
      </w:pPr>
      <w:r>
        <w:rPr>
          <w:rFonts w:eastAsia="仿宋_GB2312"/>
          <w:sz w:val="32"/>
          <w:szCs w:val="32"/>
        </w:rPr>
        <w:t>公用经费11.28万元，主要包括：办公费、水费、电费、邮电费、差旅费、工会经费、福利费、其他交通费、其他商品和服务支出等。</w:t>
      </w:r>
    </w:p>
    <w:p>
      <w:pPr>
        <w:spacing w:line="600" w:lineRule="exact"/>
        <w:ind w:firstLine="640" w:firstLineChars="200"/>
        <w:outlineLvl w:val="1"/>
        <w:rPr>
          <w:rStyle w:val="29"/>
          <w:rFonts w:ascii="Times New Roman" w:hAnsi="Times New Roman" w:eastAsia="黑体"/>
          <w:b w:val="0"/>
        </w:rPr>
      </w:pPr>
      <w:bookmarkStart w:id="78" w:name="_Toc240571580"/>
      <w:bookmarkStart w:id="79" w:name="_Toc15377215"/>
      <w:bookmarkStart w:id="80" w:name="_Toc240571191"/>
      <w:bookmarkStart w:id="81" w:name="_Toc240573318"/>
      <w:bookmarkStart w:id="82"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78"/>
      <w:bookmarkEnd w:id="79"/>
      <w:bookmarkEnd w:id="80"/>
      <w:bookmarkEnd w:id="81"/>
      <w:bookmarkEnd w:id="82"/>
    </w:p>
    <w:p>
      <w:pPr>
        <w:spacing w:line="600" w:lineRule="exact"/>
        <w:ind w:firstLine="640"/>
        <w:rPr>
          <w:rFonts w:eastAsia="楷体_GB2312" w:cs="楷体_GB2312"/>
          <w:b/>
          <w:sz w:val="32"/>
          <w:szCs w:val="32"/>
        </w:rPr>
      </w:pPr>
      <w:bookmarkStart w:id="83" w:name="_Toc240571581"/>
      <w:bookmarkStart w:id="84" w:name="_Toc240571192"/>
      <w:bookmarkStart w:id="85" w:name="_Toc15377216"/>
      <w:r>
        <w:rPr>
          <w:rFonts w:hint="eastAsia" w:eastAsia="楷体_GB2312" w:cs="楷体_GB2312"/>
          <w:b/>
          <w:sz w:val="32"/>
          <w:szCs w:val="32"/>
        </w:rPr>
        <w:t>（一）财政拨款“三公”经费支出决算总体情况说明</w:t>
      </w:r>
      <w:bookmarkEnd w:id="83"/>
      <w:bookmarkEnd w:id="84"/>
      <w:bookmarkEnd w:id="85"/>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w:t>
      </w:r>
      <w:r>
        <w:rPr>
          <w:rFonts w:eastAsia="仿宋_GB2312"/>
          <w:sz w:val="32"/>
          <w:szCs w:val="32"/>
        </w:rPr>
        <w:t>为0万</w:t>
      </w:r>
      <w:r>
        <w:rPr>
          <w:rFonts w:hint="eastAsia" w:eastAsia="仿宋_GB2312" w:cs="仿宋_GB2312"/>
          <w:sz w:val="32"/>
          <w:szCs w:val="32"/>
        </w:rPr>
        <w:t>元。</w:t>
      </w:r>
      <w:bookmarkStart w:id="86" w:name="_Toc15377217"/>
    </w:p>
    <w:p>
      <w:pPr>
        <w:spacing w:line="600" w:lineRule="exact"/>
        <w:ind w:firstLine="640"/>
        <w:rPr>
          <w:rFonts w:eastAsia="楷体_GB2312" w:cs="楷体_GB2312"/>
          <w:b/>
          <w:sz w:val="32"/>
          <w:szCs w:val="32"/>
        </w:rPr>
      </w:pPr>
      <w:r>
        <w:rPr>
          <w:rFonts w:hint="eastAsia" w:eastAsia="楷体_GB2312" w:cs="楷体_GB2312"/>
          <w:b/>
          <w:sz w:val="32"/>
          <w:szCs w:val="32"/>
        </w:rPr>
        <w:t>（二）财政拨款“三公”经费支出决算具体情况说明</w:t>
      </w:r>
      <w:bookmarkEnd w:id="86"/>
    </w:p>
    <w:p>
      <w:pPr>
        <w:spacing w:line="60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2336" behindDoc="0" locked="0" layoutInCell="1" allowOverlap="1">
            <wp:simplePos x="0" y="0"/>
            <wp:positionH relativeFrom="column">
              <wp:posOffset>19050</wp:posOffset>
            </wp:positionH>
            <wp:positionV relativeFrom="paragraph">
              <wp:posOffset>1143000</wp:posOffset>
            </wp:positionV>
            <wp:extent cx="5057775" cy="2580005"/>
            <wp:effectExtent l="19050" t="0" r="9525" b="0"/>
            <wp:wrapTopAndBottom/>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noChangeArrowheads="1"/>
                    </pic:cNvPicPr>
                  </pic:nvPicPr>
                  <pic:blipFill>
                    <a:blip r:embed="rId18"/>
                    <a:srcRect/>
                    <a:stretch>
                      <a:fillRect/>
                    </a:stretch>
                  </pic:blipFill>
                  <pic:spPr>
                    <a:xfrm>
                      <a:off x="0" y="0"/>
                      <a:ext cx="5057775" cy="2580005"/>
                    </a:xfrm>
                    <a:prstGeom prst="rect">
                      <a:avLst/>
                    </a:prstGeom>
                    <a:noFill/>
                  </pic:spPr>
                </pic:pic>
              </a:graphicData>
            </a:graphic>
          </wp:anchor>
        </w:drawing>
      </w:r>
      <w:r>
        <w:rPr>
          <w:rFonts w:hint="eastAsia" w:eastAsia="仿宋_GB2312" w:cs="仿宋_GB2312"/>
          <w:sz w:val="32"/>
          <w:szCs w:val="32"/>
        </w:rPr>
        <w:t>2025年度财政拨款“三公”经费支出决算中，因公出国（境）费支出决算</w:t>
      </w:r>
      <w:r>
        <w:rPr>
          <w:rFonts w:eastAsia="仿宋_GB2312"/>
          <w:sz w:val="32"/>
          <w:szCs w:val="32"/>
        </w:rPr>
        <w:t>0万元；公务用车购置及运行维护费支出决算0万元；公务接待费支出决算0万元。具体情况如下：</w:t>
      </w:r>
    </w:p>
    <w:p>
      <w:pPr>
        <w:pStyle w:val="2"/>
      </w:pPr>
    </w:p>
    <w:p>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w:t>
      </w:r>
    </w:p>
    <w:p>
      <w:pPr>
        <w:spacing w:line="600" w:lineRule="exact"/>
        <w:ind w:firstLine="640"/>
        <w:rPr>
          <w:rFonts w:eastAsia="仿宋_GB2312"/>
          <w:sz w:val="32"/>
          <w:szCs w:val="32"/>
        </w:rPr>
      </w:pPr>
      <w:r>
        <w:rPr>
          <w:rFonts w:hint="eastAsia" w:eastAsia="仿宋_GB2312" w:cs="仿宋_GB2312"/>
          <w:b/>
          <w:bCs/>
          <w:sz w:val="32"/>
          <w:szCs w:val="32"/>
        </w:rPr>
        <w:t>1.因</w:t>
      </w:r>
      <w:r>
        <w:rPr>
          <w:rFonts w:eastAsia="仿宋_GB2312"/>
          <w:b/>
          <w:bCs/>
          <w:sz w:val="32"/>
          <w:szCs w:val="32"/>
        </w:rPr>
        <w:t>公出国（境）经费支出</w:t>
      </w:r>
      <w:r>
        <w:rPr>
          <w:rFonts w:eastAsia="仿宋_GB2312"/>
          <w:sz w:val="32"/>
          <w:szCs w:val="32"/>
        </w:rPr>
        <w:t>0</w:t>
      </w:r>
      <w:r>
        <w:rPr>
          <w:rFonts w:eastAsia="仿宋_GB2312"/>
          <w:b/>
          <w:bCs/>
          <w:sz w:val="32"/>
          <w:szCs w:val="32"/>
        </w:rPr>
        <w:t>万元。</w:t>
      </w:r>
      <w:r>
        <w:rPr>
          <w:rFonts w:eastAsia="仿宋_GB2312"/>
          <w:sz w:val="32"/>
          <w:szCs w:val="32"/>
        </w:rPr>
        <w:t>全年安排因公出国（境）团组0次，出国（境）0人。</w:t>
      </w:r>
    </w:p>
    <w:p>
      <w:pPr>
        <w:spacing w:line="600" w:lineRule="exact"/>
        <w:ind w:firstLine="640"/>
        <w:rPr>
          <w:rFonts w:eastAsia="仿宋_GB2312"/>
          <w:sz w:val="32"/>
          <w:szCs w:val="32"/>
        </w:rPr>
      </w:pPr>
      <w:r>
        <w:rPr>
          <w:rFonts w:eastAsia="仿宋_GB2312"/>
          <w:b/>
          <w:bCs/>
          <w:sz w:val="32"/>
          <w:szCs w:val="32"/>
        </w:rPr>
        <w:t>2.公务用车购置及运行维护费支出0万元。</w:t>
      </w:r>
      <w:r>
        <w:rPr>
          <w:rFonts w:eastAsia="仿宋_GB2312"/>
          <w:sz w:val="32"/>
          <w:szCs w:val="32"/>
        </w:rPr>
        <w:t>其中：公务用车购置支出0万元；公务用车运行维护费支出0万元。</w:t>
      </w:r>
    </w:p>
    <w:p>
      <w:pPr>
        <w:spacing w:line="600" w:lineRule="exact"/>
        <w:ind w:firstLine="640"/>
        <w:rPr>
          <w:rFonts w:eastAsia="仿宋_GB2312"/>
          <w:sz w:val="32"/>
          <w:szCs w:val="32"/>
        </w:rPr>
      </w:pPr>
      <w:r>
        <w:rPr>
          <w:rFonts w:eastAsia="仿宋_GB2312"/>
          <w:b/>
          <w:bCs/>
          <w:sz w:val="32"/>
          <w:szCs w:val="32"/>
        </w:rPr>
        <w:t>3.公务接待费支出0万元。</w:t>
      </w:r>
      <w:r>
        <w:rPr>
          <w:rFonts w:eastAsia="仿宋_GB2312"/>
          <w:sz w:val="32"/>
          <w:szCs w:val="32"/>
        </w:rPr>
        <w:t>其中：国内公务接待支出0万元；外事接待支出0万元。</w:t>
      </w:r>
      <w:bookmarkStart w:id="87" w:name="_Toc15396610"/>
      <w:bookmarkStart w:id="88" w:name="_Toc15377218"/>
    </w:p>
    <w:p>
      <w:pPr>
        <w:spacing w:line="600" w:lineRule="exact"/>
        <w:ind w:firstLine="640" w:firstLineChars="200"/>
        <w:outlineLvl w:val="1"/>
        <w:rPr>
          <w:rStyle w:val="29"/>
          <w:rFonts w:ascii="Times New Roman" w:hAnsi="Times New Roman" w:eastAsia="黑体"/>
        </w:rPr>
      </w:pPr>
      <w:bookmarkStart w:id="89" w:name="_Toc240573319"/>
      <w:bookmarkStart w:id="90" w:name="_Toc240571582"/>
      <w:bookmarkStart w:id="91" w:name="_Toc240571193"/>
      <w:r>
        <w:rPr>
          <w:rFonts w:hint="eastAsia" w:eastAsia="黑体"/>
          <w:sz w:val="32"/>
          <w:szCs w:val="32"/>
        </w:rPr>
        <w:t>八、</w:t>
      </w:r>
      <w:r>
        <w:rPr>
          <w:rStyle w:val="29"/>
          <w:rFonts w:hint="eastAsia" w:ascii="Times New Roman" w:hAnsi="Times New Roman" w:eastAsia="黑体"/>
          <w:b w:val="0"/>
        </w:rPr>
        <w:t>政府性基金预算支出决算情况说明</w:t>
      </w:r>
      <w:bookmarkEnd w:id="87"/>
      <w:bookmarkEnd w:id="88"/>
      <w:bookmarkEnd w:id="89"/>
      <w:bookmarkEnd w:id="90"/>
      <w:bookmarkEnd w:id="91"/>
    </w:p>
    <w:p>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w:t>
      </w:r>
    </w:p>
    <w:p>
      <w:pPr>
        <w:spacing w:line="600" w:lineRule="exact"/>
        <w:ind w:firstLine="640" w:firstLineChars="200"/>
        <w:outlineLvl w:val="1"/>
        <w:rPr>
          <w:rStyle w:val="29"/>
          <w:rFonts w:ascii="Times New Roman" w:hAnsi="Times New Roman" w:eastAsia="黑体"/>
          <w:b w:val="0"/>
        </w:rPr>
      </w:pPr>
      <w:bookmarkStart w:id="92" w:name="_Toc15377219"/>
      <w:bookmarkStart w:id="93" w:name="_Toc240571583"/>
      <w:bookmarkStart w:id="94" w:name="_Toc240571194"/>
      <w:bookmarkStart w:id="95" w:name="_Toc15396611"/>
      <w:bookmarkStart w:id="96" w:name="_Toc240573320"/>
      <w:r>
        <w:rPr>
          <w:rStyle w:val="29"/>
          <w:rFonts w:hint="eastAsia" w:ascii="Times New Roman" w:hAnsi="Times New Roman" w:eastAsia="黑体"/>
          <w:b w:val="0"/>
        </w:rPr>
        <w:t>九、国有资本经营预算支出决算情况说明</w:t>
      </w:r>
      <w:bookmarkEnd w:id="92"/>
      <w:bookmarkEnd w:id="93"/>
      <w:bookmarkEnd w:id="94"/>
      <w:bookmarkEnd w:id="95"/>
      <w:bookmarkEnd w:id="96"/>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w:t>
      </w:r>
      <w:r>
        <w:rPr>
          <w:rFonts w:eastAsia="仿宋_GB2312"/>
          <w:sz w:val="32"/>
          <w:szCs w:val="32"/>
        </w:rPr>
        <w:t>支出6万元，占本年支出合计的5.64%。与上年度相比，国有资本经营预算财政拨款支出增加5.5万元，增长1100%。主要变</w:t>
      </w:r>
      <w:r>
        <w:rPr>
          <w:rFonts w:hint="eastAsia" w:eastAsia="仿宋_GB2312" w:cs="仿宋_GB2312"/>
          <w:sz w:val="32"/>
          <w:szCs w:val="32"/>
        </w:rPr>
        <w:t>动原因是</w:t>
      </w:r>
      <w:r>
        <w:rPr>
          <w:rFonts w:hint="eastAsia" w:ascii="仿宋_GB2312" w:hAnsi="仿宋" w:eastAsia="仿宋_GB2312"/>
          <w:sz w:val="32"/>
          <w:szCs w:val="32"/>
        </w:rPr>
        <w:t>本年度支付手动有轨档案密集架及配套设备采购项目质保金、新购库房在线温湿度监控系统等设备设施</w:t>
      </w:r>
      <w:r>
        <w:rPr>
          <w:rFonts w:hint="eastAsia" w:eastAsia="仿宋_GB2312" w:cs="仿宋_GB2312"/>
          <w:sz w:val="32"/>
          <w:szCs w:val="32"/>
        </w:rPr>
        <w:t>。</w:t>
      </w:r>
    </w:p>
    <w:p>
      <w:pPr>
        <w:spacing w:line="600" w:lineRule="exact"/>
        <w:ind w:firstLine="640" w:firstLineChars="200"/>
        <w:outlineLvl w:val="1"/>
        <w:rPr>
          <w:rStyle w:val="29"/>
          <w:rFonts w:ascii="Times New Roman" w:hAnsi="Times New Roman" w:eastAsia="黑体"/>
          <w:b w:val="0"/>
        </w:rPr>
      </w:pPr>
      <w:bookmarkStart w:id="97" w:name="_Toc240571584"/>
      <w:bookmarkStart w:id="98" w:name="_Toc240573321"/>
      <w:bookmarkStart w:id="99" w:name="_Toc240571195"/>
      <w:bookmarkStart w:id="100" w:name="_Toc15396612"/>
      <w:bookmarkStart w:id="101" w:name="_Toc15377221"/>
      <w:r>
        <w:rPr>
          <w:rStyle w:val="29"/>
          <w:rFonts w:hint="eastAsia" w:ascii="Times New Roman" w:hAnsi="Times New Roman" w:eastAsia="黑体"/>
          <w:b w:val="0"/>
        </w:rPr>
        <w:t>十、其他重要事项的情况说明</w:t>
      </w:r>
      <w:bookmarkEnd w:id="97"/>
      <w:bookmarkEnd w:id="98"/>
      <w:bookmarkEnd w:id="99"/>
      <w:bookmarkEnd w:id="100"/>
      <w:bookmarkEnd w:id="101"/>
    </w:p>
    <w:p>
      <w:pPr>
        <w:spacing w:line="600" w:lineRule="exact"/>
        <w:ind w:firstLine="640"/>
        <w:rPr>
          <w:rFonts w:eastAsia="楷体_GB2312" w:cs="楷体_GB2312"/>
          <w:b/>
          <w:sz w:val="32"/>
          <w:szCs w:val="32"/>
        </w:rPr>
      </w:pPr>
      <w:bookmarkStart w:id="102" w:name="_Toc240571196"/>
      <w:bookmarkStart w:id="103" w:name="_Toc240571585"/>
      <w:bookmarkStart w:id="104" w:name="_Toc15377222"/>
      <w:r>
        <w:rPr>
          <w:rFonts w:hint="eastAsia" w:eastAsia="楷体_GB2312" w:cs="楷体_GB2312"/>
          <w:b/>
          <w:sz w:val="32"/>
          <w:szCs w:val="32"/>
        </w:rPr>
        <w:t>（一）机关运行经费支出情况</w:t>
      </w:r>
      <w:bookmarkEnd w:id="102"/>
      <w:bookmarkEnd w:id="103"/>
      <w:bookmarkEnd w:id="104"/>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沐川县档案馆</w:t>
      </w:r>
      <w:r>
        <w:rPr>
          <w:rFonts w:hint="eastAsia" w:eastAsia="仿宋_GB2312" w:cs="仿宋_GB2312"/>
          <w:sz w:val="32"/>
          <w:szCs w:val="32"/>
        </w:rPr>
        <w:t>机关运行经费支</w:t>
      </w:r>
      <w:r>
        <w:rPr>
          <w:rFonts w:eastAsia="仿宋_GB2312"/>
          <w:sz w:val="32"/>
          <w:szCs w:val="32"/>
        </w:rPr>
        <w:t>出11.28万元，比上年度增加3.01万元，增长36.39%。主要原因是新增1名在职人员，办公费、工会经费、交通补贴、差旅费等运行经费相应增加</w:t>
      </w:r>
      <w:r>
        <w:rPr>
          <w:rFonts w:hint="eastAsia" w:eastAsia="仿宋_GB2312" w:cs="仿宋_GB2312"/>
          <w:sz w:val="32"/>
          <w:szCs w:val="32"/>
        </w:rPr>
        <w:t>。</w:t>
      </w:r>
    </w:p>
    <w:p>
      <w:pPr>
        <w:spacing w:line="600" w:lineRule="exact"/>
        <w:ind w:firstLine="640"/>
        <w:rPr>
          <w:rFonts w:eastAsia="楷体_GB2312" w:cs="楷体_GB2312"/>
          <w:b/>
          <w:sz w:val="32"/>
          <w:szCs w:val="32"/>
        </w:rPr>
      </w:pPr>
      <w:bookmarkStart w:id="105" w:name="_Toc240571197"/>
      <w:bookmarkStart w:id="106" w:name="_Toc240571586"/>
      <w:bookmarkStart w:id="107" w:name="_Toc15377223"/>
      <w:r>
        <w:rPr>
          <w:rFonts w:hint="eastAsia" w:eastAsia="楷体_GB2312" w:cs="楷体_GB2312"/>
          <w:b/>
          <w:sz w:val="32"/>
          <w:szCs w:val="32"/>
        </w:rPr>
        <w:t>（二）政府采购支出情况</w:t>
      </w:r>
      <w:bookmarkEnd w:id="105"/>
      <w:bookmarkEnd w:id="106"/>
      <w:bookmarkEnd w:id="107"/>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沐川县档案馆</w:t>
      </w:r>
      <w:r>
        <w:rPr>
          <w:rFonts w:hint="eastAsia" w:eastAsia="仿宋_GB2312" w:cs="仿宋_GB2312"/>
          <w:sz w:val="32"/>
          <w:szCs w:val="32"/>
        </w:rPr>
        <w:t>政府采购支出总额</w:t>
      </w:r>
      <w:r>
        <w:rPr>
          <w:rFonts w:eastAsia="仿宋_GB2312"/>
          <w:sz w:val="32"/>
          <w:szCs w:val="32"/>
        </w:rPr>
        <w:t>0.44万元，其中：政府采购货物支出0.44万元、政府采购工程支出0万元、政府采购服务支出0万元。主要用于采购两台多功能打印机。授予中小企业合同金额0.44万元，占政府采购支出总额的100%，其中：授予小微企业合同金额0.44万</w:t>
      </w:r>
      <w:r>
        <w:rPr>
          <w:rFonts w:hint="eastAsia" w:eastAsia="仿宋_GB2312" w:cs="仿宋_GB2312"/>
          <w:sz w:val="32"/>
          <w:szCs w:val="32"/>
        </w:rPr>
        <w:t>元，占政府采购支出总额的100%。</w:t>
      </w:r>
    </w:p>
    <w:p>
      <w:pPr>
        <w:spacing w:line="600" w:lineRule="exact"/>
        <w:ind w:firstLine="640"/>
        <w:rPr>
          <w:rFonts w:eastAsia="楷体_GB2312" w:cs="楷体_GB2312"/>
          <w:b/>
          <w:sz w:val="32"/>
          <w:szCs w:val="32"/>
        </w:rPr>
      </w:pPr>
      <w:bookmarkStart w:id="108" w:name="_Toc240571198"/>
      <w:bookmarkStart w:id="109" w:name="_Toc15377224"/>
      <w:bookmarkStart w:id="110" w:name="_Toc240571587"/>
      <w:r>
        <w:rPr>
          <w:rFonts w:hint="eastAsia" w:eastAsia="楷体_GB2312" w:cs="楷体_GB2312"/>
          <w:b/>
          <w:sz w:val="32"/>
          <w:szCs w:val="32"/>
        </w:rPr>
        <w:t>（三）国有资产占有使用情况</w:t>
      </w:r>
      <w:bookmarkEnd w:id="108"/>
      <w:bookmarkEnd w:id="109"/>
      <w:bookmarkEnd w:id="110"/>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沐川县档案馆</w:t>
      </w:r>
      <w:r>
        <w:rPr>
          <w:rFonts w:hint="eastAsia" w:eastAsia="仿宋_GB2312" w:cs="仿宋_GB2312"/>
          <w:sz w:val="32"/>
          <w:szCs w:val="32"/>
        </w:rPr>
        <w:t>共有车辆</w:t>
      </w:r>
      <w:r>
        <w:rPr>
          <w:rFonts w:hint="eastAsia" w:ascii="仿宋_GB2312" w:hAnsi="仿宋_GB2312" w:eastAsia="仿宋_GB2312" w:cs="仿宋_GB2312"/>
          <w:sz w:val="32"/>
          <w:szCs w:val="32"/>
        </w:rPr>
        <w:t>0</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0</w:t>
      </w:r>
      <w:r>
        <w:rPr>
          <w:rFonts w:hint="eastAsia" w:eastAsia="仿宋_GB2312" w:cs="仿宋_GB2312"/>
          <w:sz w:val="32"/>
          <w:szCs w:val="32"/>
        </w:rPr>
        <w:t>辆。单价100万元（含）以上设备（不含车辆）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pPr>
        <w:spacing w:line="600" w:lineRule="exact"/>
        <w:ind w:firstLine="640"/>
        <w:rPr>
          <w:rFonts w:eastAsia="楷体_GB2312" w:cs="楷体_GB2312"/>
          <w:b/>
          <w:sz w:val="32"/>
          <w:szCs w:val="32"/>
        </w:rPr>
      </w:pPr>
      <w:bookmarkStart w:id="111" w:name="_Toc240571199"/>
      <w:bookmarkStart w:id="112" w:name="_Toc240571588"/>
      <w:r>
        <w:rPr>
          <w:rFonts w:hint="eastAsia" w:eastAsia="楷体_GB2312" w:cs="楷体_GB2312"/>
          <w:b/>
          <w:sz w:val="32"/>
          <w:szCs w:val="32"/>
        </w:rPr>
        <w:t>（四）预算绩效管理情况</w:t>
      </w:r>
      <w:bookmarkEnd w:id="111"/>
      <w:bookmarkEnd w:id="112"/>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根据预算绩效管理要求，本部门在2025年度，组织对档案保管保护专项经费、国有企业退休人员社会化管理补助2个项目涉及金额</w:t>
      </w:r>
      <w:r>
        <w:rPr>
          <w:rFonts w:eastAsia="仿宋_GB2312" w:cs="仿宋_GB2312"/>
          <w:sz w:val="32"/>
          <w:szCs w:val="32"/>
        </w:rPr>
        <w:t>13.4</w:t>
      </w:r>
      <w:r>
        <w:rPr>
          <w:rFonts w:hint="eastAsia" w:eastAsia="仿宋_GB2312" w:cs="仿宋_GB2312"/>
          <w:sz w:val="32"/>
          <w:szCs w:val="32"/>
        </w:rPr>
        <w:t>8万元开展了事前绩效评估，对2个项目编制了绩效目标，预算执行过程中，选取2个项目开展绩效监控。</w:t>
      </w:r>
    </w:p>
    <w:p>
      <w:pPr>
        <w:spacing w:line="600" w:lineRule="exact"/>
        <w:ind w:firstLine="640"/>
        <w:rPr>
          <w:rFonts w:eastAsia="仿宋_GB2312" w:cs="仿宋_GB2312"/>
          <w:sz w:val="32"/>
          <w:szCs w:val="32"/>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档案馆部门预算（含部门预算项目）绩效自评报告、专项预算项目绩效自评报告，其中，沐川县档案馆部门整体（含部门预算项目）绩效自评得分为96分；专项预算项目绩效自评得分为100分。绩效自评报告详见附件。</w:t>
      </w:r>
    </w:p>
    <w:p>
      <w:pPr>
        <w:widowControl/>
        <w:jc w:val="left"/>
        <w:rPr>
          <w:rFonts w:eastAsia="仿宋_GB2312" w:cs="仿宋_GB2312"/>
          <w:sz w:val="32"/>
          <w:szCs w:val="32"/>
        </w:rPr>
      </w:pPr>
      <w:r>
        <w:rPr>
          <w:rFonts w:eastAsia="仿宋_GB2312" w:cs="仿宋_GB2312"/>
          <w:sz w:val="32"/>
          <w:szCs w:val="32"/>
        </w:rPr>
        <w:br w:type="page"/>
      </w:r>
    </w:p>
    <w:p>
      <w:pPr>
        <w:spacing w:line="600" w:lineRule="exact"/>
        <w:jc w:val="center"/>
        <w:outlineLvl w:val="0"/>
        <w:rPr>
          <w:rFonts w:eastAsia="黑体"/>
          <w:sz w:val="44"/>
          <w:szCs w:val="44"/>
        </w:rPr>
      </w:pPr>
      <w:bookmarkStart w:id="113" w:name="_Toc15377225"/>
      <w:bookmarkStart w:id="114" w:name="_Toc240571200"/>
      <w:bookmarkStart w:id="115" w:name="_Toc240571589"/>
      <w:bookmarkStart w:id="116" w:name="_Toc15396613"/>
      <w:bookmarkStart w:id="117" w:name="_Toc240573322"/>
      <w:r>
        <w:rPr>
          <w:rFonts w:hint="eastAsia" w:eastAsia="黑体"/>
          <w:sz w:val="44"/>
          <w:szCs w:val="44"/>
        </w:rPr>
        <w:t>第三部分 名词解释</w:t>
      </w:r>
      <w:bookmarkEnd w:id="113"/>
      <w:bookmarkEnd w:id="114"/>
      <w:bookmarkEnd w:id="115"/>
      <w:bookmarkEnd w:id="116"/>
      <w:bookmarkEnd w:id="117"/>
    </w:p>
    <w:p>
      <w:pPr>
        <w:spacing w:line="600" w:lineRule="exact"/>
        <w:jc w:val="left"/>
        <w:rPr>
          <w:b/>
          <w:sz w:val="44"/>
          <w:szCs w:val="44"/>
        </w:rPr>
      </w:pPr>
    </w:p>
    <w:p>
      <w:pPr>
        <w:spacing w:line="600" w:lineRule="exact"/>
        <w:ind w:firstLine="640"/>
        <w:rPr>
          <w:rFonts w:eastAsia="仿宋_GB2312" w:cs="仿宋_GB2312"/>
          <w:sz w:val="32"/>
          <w:szCs w:val="32"/>
        </w:rPr>
      </w:pPr>
      <w:bookmarkStart w:id="118" w:name="_Toc15377226"/>
      <w:r>
        <w:rPr>
          <w:rFonts w:hint="eastAsia" w:eastAsia="仿宋_GB2312" w:cs="仿宋_GB2312"/>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pPr>
        <w:spacing w:line="600" w:lineRule="exact"/>
        <w:ind w:firstLine="640"/>
        <w:rPr>
          <w:rFonts w:eastAsia="仿宋_GB2312" w:cs="仿宋_GB2312"/>
          <w:sz w:val="32"/>
          <w:szCs w:val="32"/>
        </w:rPr>
      </w:pPr>
      <w:r>
        <w:rPr>
          <w:rFonts w:hint="eastAsia" w:eastAsia="仿宋_GB2312" w:cs="仿宋_GB2312"/>
          <w:sz w:val="32"/>
          <w:szCs w:val="32"/>
        </w:rPr>
        <w:t>4.其他收入：指单位取得的除上述收入以外的各项收入。</w:t>
      </w:r>
    </w:p>
    <w:p>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pPr>
        <w:spacing w:line="600" w:lineRule="exact"/>
        <w:ind w:firstLine="640"/>
        <w:rPr>
          <w:rFonts w:eastAsia="仿宋_GB2312" w:cs="仿宋_GB2312"/>
          <w:sz w:val="32"/>
          <w:szCs w:val="32"/>
        </w:rPr>
      </w:pPr>
      <w:r>
        <w:rPr>
          <w:rFonts w:hint="eastAsia" w:eastAsia="仿宋_GB2312" w:cs="仿宋_GB2312"/>
          <w:sz w:val="32"/>
          <w:szCs w:val="32"/>
        </w:rPr>
        <w:t>9.一般公共服务（类）档案事务（款）行政运行（项）：指档案馆用于保障机构正常运转的基本支出。</w:t>
      </w:r>
    </w:p>
    <w:p>
      <w:pPr>
        <w:spacing w:line="600" w:lineRule="exact"/>
        <w:ind w:firstLine="640"/>
        <w:rPr>
          <w:rFonts w:eastAsia="仿宋_GB2312" w:cs="仿宋_GB2312"/>
          <w:sz w:val="32"/>
          <w:szCs w:val="32"/>
        </w:rPr>
      </w:pPr>
      <w:r>
        <w:rPr>
          <w:rFonts w:hint="eastAsia" w:eastAsia="仿宋_GB2312" w:cs="仿宋_GB2312"/>
          <w:sz w:val="32"/>
          <w:szCs w:val="32"/>
        </w:rPr>
        <w:t>10. 一般公共服务（类）档案事务（款）档案馆（项）：指档案馆用于馆藏档案资源建设的基本支出。</w:t>
      </w:r>
    </w:p>
    <w:p>
      <w:pPr>
        <w:spacing w:line="600" w:lineRule="exact"/>
        <w:ind w:firstLine="640"/>
        <w:rPr>
          <w:rFonts w:eastAsia="仿宋_GB2312" w:cs="仿宋_GB2312"/>
          <w:sz w:val="32"/>
          <w:szCs w:val="32"/>
        </w:rPr>
      </w:pPr>
      <w:r>
        <w:rPr>
          <w:rFonts w:hint="eastAsia" w:eastAsia="仿宋_GB2312" w:cs="仿宋_GB2312"/>
          <w:sz w:val="32"/>
          <w:szCs w:val="32"/>
        </w:rPr>
        <w:t>11.社会保障和就业（类）行政事业单位养老支出（款）机关事业单位基本养老保险缴费支出（项）：指行政事业单位实施养老保险制度由单位缴纳的基本养老保险支出。</w:t>
      </w:r>
    </w:p>
    <w:p>
      <w:pPr>
        <w:spacing w:line="600" w:lineRule="exact"/>
        <w:ind w:firstLine="640"/>
        <w:rPr>
          <w:rFonts w:eastAsia="仿宋_GB2312" w:cs="仿宋_GB2312"/>
          <w:sz w:val="32"/>
          <w:szCs w:val="32"/>
        </w:rPr>
      </w:pPr>
      <w:r>
        <w:rPr>
          <w:rFonts w:hint="eastAsia" w:eastAsia="仿宋_GB2312" w:cs="仿宋_GB2312"/>
          <w:sz w:val="32"/>
          <w:szCs w:val="32"/>
        </w:rPr>
        <w:t>12.社会保障和就业（类）行政事业单位养老支出（款）其他行政事业单位养老支出（项）：指行政事业单位用于单位退休人员生活补助支出。</w:t>
      </w:r>
    </w:p>
    <w:p>
      <w:pPr>
        <w:spacing w:line="600" w:lineRule="exact"/>
        <w:ind w:firstLine="640"/>
        <w:rPr>
          <w:rFonts w:eastAsia="仿宋_GB2312" w:cs="仿宋_GB2312"/>
          <w:sz w:val="32"/>
          <w:szCs w:val="32"/>
        </w:rPr>
      </w:pPr>
      <w:r>
        <w:rPr>
          <w:rFonts w:hint="eastAsia" w:eastAsia="仿宋_GB2312" w:cs="仿宋_GB2312"/>
          <w:sz w:val="32"/>
          <w:szCs w:val="32"/>
        </w:rPr>
        <w:t>13.社会保障和就业（类）其他社会保障和就业支出（款）其他社会保障和就业支出（项）：指除上述项目外其他用于社会保障和就业方面的支出。</w:t>
      </w:r>
    </w:p>
    <w:p>
      <w:pPr>
        <w:spacing w:line="600" w:lineRule="exact"/>
        <w:ind w:firstLine="640"/>
        <w:rPr>
          <w:rFonts w:eastAsia="仿宋_GB2312" w:cs="仿宋_GB2312"/>
          <w:sz w:val="32"/>
          <w:szCs w:val="32"/>
        </w:rPr>
      </w:pPr>
      <w:r>
        <w:rPr>
          <w:rFonts w:hint="eastAsia" w:eastAsia="仿宋_GB2312" w:cs="仿宋_GB2312"/>
          <w:sz w:val="32"/>
          <w:szCs w:val="32"/>
        </w:rPr>
        <w:t>14.卫生健康支出（类）行政事业单位医疗（款）行政单位医疗（项）：指行政事业单位用于由单位缴纳的基本医疗保险缴费支出。</w:t>
      </w:r>
    </w:p>
    <w:p>
      <w:pPr>
        <w:spacing w:line="600" w:lineRule="exact"/>
        <w:ind w:firstLine="640"/>
        <w:rPr>
          <w:rFonts w:eastAsia="仿宋_GB2312" w:cs="仿宋_GB2312"/>
          <w:sz w:val="32"/>
          <w:szCs w:val="32"/>
        </w:rPr>
      </w:pPr>
      <w:r>
        <w:rPr>
          <w:rFonts w:hint="eastAsia" w:eastAsia="仿宋_GB2312" w:cs="仿宋_GB2312"/>
          <w:sz w:val="32"/>
          <w:szCs w:val="32"/>
        </w:rPr>
        <w:t>15.住房保障支出（类）住房改革支出（款）住房公积金（项）：指行政事业单位按人力资源和社会保障部、财政部规定的基本工资和津贴补贴以及规定比例为职工缴纳的住房公积金。</w:t>
      </w:r>
    </w:p>
    <w:p>
      <w:pPr>
        <w:spacing w:line="600" w:lineRule="exact"/>
        <w:ind w:firstLine="640"/>
        <w:rPr>
          <w:rFonts w:eastAsia="仿宋_GB2312" w:cs="仿宋_GB2312"/>
          <w:sz w:val="32"/>
          <w:szCs w:val="32"/>
        </w:rPr>
      </w:pPr>
      <w:r>
        <w:rPr>
          <w:rFonts w:hint="eastAsia" w:eastAsia="仿宋_GB2312" w:cs="仿宋_GB2312"/>
          <w:sz w:val="32"/>
          <w:szCs w:val="32"/>
        </w:rPr>
        <w:t>16.基本支出：指为保障机构正常运转、完成日常工作任务而发生的人员支出和公用支出。</w:t>
      </w:r>
    </w:p>
    <w:p>
      <w:pPr>
        <w:spacing w:line="600" w:lineRule="exact"/>
        <w:ind w:firstLine="640"/>
        <w:rPr>
          <w:rFonts w:eastAsia="仿宋_GB2312" w:cs="仿宋_GB2312"/>
          <w:sz w:val="32"/>
          <w:szCs w:val="32"/>
        </w:rPr>
      </w:pPr>
      <w:r>
        <w:rPr>
          <w:rFonts w:hint="eastAsia" w:eastAsia="仿宋_GB2312" w:cs="仿宋_GB2312"/>
          <w:sz w:val="32"/>
          <w:szCs w:val="32"/>
        </w:rPr>
        <w:t>17.项目支出：指在基本支出之外为完成特定行政任务和事业发展目标所发生的支出。</w:t>
      </w:r>
    </w:p>
    <w:p>
      <w:pPr>
        <w:spacing w:line="600" w:lineRule="exact"/>
        <w:ind w:firstLine="640"/>
        <w:rPr>
          <w:rFonts w:eastAsia="仿宋_GB2312" w:cs="仿宋_GB2312"/>
          <w:sz w:val="32"/>
          <w:szCs w:val="32"/>
        </w:rPr>
      </w:pPr>
      <w:r>
        <w:rPr>
          <w:rFonts w:hint="eastAsia" w:eastAsia="仿宋_GB2312" w:cs="仿宋_GB2312"/>
          <w:sz w:val="32"/>
          <w:szCs w:val="32"/>
        </w:rPr>
        <w:t>18.经营支出：指事业单位在专业业务活动及其辅助活动之外开展非独立核算经营活动发生的支出。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hint="eastAsia" w:eastAsia="仿宋_GB2312" w:cs="仿宋_GB2312"/>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jc w:val="center"/>
        <w:rPr>
          <w:rFonts w:eastAsia="黑体"/>
          <w:bCs/>
          <w:kern w:val="44"/>
          <w:sz w:val="44"/>
          <w:szCs w:val="44"/>
        </w:rPr>
      </w:pPr>
      <w:r>
        <w:rPr>
          <w:rFonts w:hint="eastAsia" w:eastAsia="仿宋_GB2312" w:cs="仿宋_GB2312"/>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eastAsia="仿宋_GB2312" w:cs="仿宋_GB2312"/>
          <w:sz w:val="32"/>
          <w:szCs w:val="32"/>
        </w:rPr>
        <w:br w:type="page"/>
      </w:r>
      <w:bookmarkStart w:id="119" w:name="_Toc240573323"/>
      <w:bookmarkStart w:id="120" w:name="_Toc15396614"/>
      <w:r>
        <w:rPr>
          <w:rStyle w:val="28"/>
          <w:rFonts w:hint="eastAsia" w:ascii="方正小标宋简体" w:eastAsia="方正小标宋简体"/>
          <w:b w:val="0"/>
        </w:rPr>
        <w:t>第四部分 附件</w:t>
      </w:r>
      <w:bookmarkEnd w:id="119"/>
      <w:bookmarkEnd w:id="120"/>
    </w:p>
    <w:p>
      <w:pPr>
        <w:pStyle w:val="6"/>
        <w:rPr>
          <w:rFonts w:eastAsia="方正小标宋简体"/>
          <w:sz w:val="44"/>
          <w:szCs w:val="44"/>
          <w:shd w:val="clear" w:color="auto" w:fill="FFFFFF"/>
        </w:rPr>
      </w:pPr>
      <w:bookmarkStart w:id="121" w:name="_Toc240571201"/>
      <w:bookmarkStart w:id="122" w:name="_Toc240571590"/>
      <w:bookmarkStart w:id="123" w:name="_Toc240573324"/>
      <w:r>
        <w:rPr>
          <w:rFonts w:hint="eastAsia"/>
        </w:rPr>
        <w:t>附件1</w:t>
      </w:r>
      <w:bookmarkEnd w:id="121"/>
      <w:bookmarkEnd w:id="122"/>
      <w:bookmarkEnd w:id="123"/>
    </w:p>
    <w:p>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沐川县档案馆</w:t>
      </w:r>
    </w:p>
    <w:p>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2025年度部门整体绩效自评报告</w:t>
      </w:r>
    </w:p>
    <w:p>
      <w:pPr>
        <w:widowControl/>
        <w:adjustRightInd w:val="0"/>
        <w:snapToGrid w:val="0"/>
        <w:spacing w:line="580" w:lineRule="exact"/>
        <w:ind w:firstLine="640" w:firstLineChars="200"/>
        <w:contextualSpacing/>
        <w:jc w:val="left"/>
        <w:rPr>
          <w:rFonts w:ascii="黑体" w:hAnsi="黑体" w:eastAsia="黑体" w:cs="宋体"/>
          <w:color w:val="000000"/>
          <w:kern w:val="0"/>
          <w:sz w:val="32"/>
          <w:szCs w:val="32"/>
          <w:shd w:val="clear" w:color="auto" w:fill="FFFFFF"/>
          <w:lang w:val="zh-CN"/>
        </w:rPr>
      </w:pPr>
    </w:p>
    <w:p>
      <w:pPr>
        <w:widowControl/>
        <w:adjustRightInd w:val="0"/>
        <w:snapToGrid w:val="0"/>
        <w:spacing w:line="580" w:lineRule="exact"/>
        <w:ind w:firstLine="640" w:firstLineChars="200"/>
        <w:contextualSpacing/>
        <w:jc w:val="left"/>
        <w:rPr>
          <w:rFonts w:ascii="黑体" w:hAnsi="黑体" w:eastAsia="黑体" w:cs="宋体"/>
          <w:color w:val="000000"/>
          <w:kern w:val="0"/>
          <w:sz w:val="32"/>
          <w:szCs w:val="32"/>
          <w:shd w:val="clear" w:color="auto" w:fill="FFFFFF"/>
          <w:lang w:val="zh-CN"/>
        </w:rPr>
      </w:pPr>
      <w:r>
        <w:rPr>
          <w:rFonts w:hint="eastAsia" w:ascii="黑体" w:hAnsi="黑体" w:eastAsia="黑体" w:cs="宋体"/>
          <w:color w:val="000000"/>
          <w:kern w:val="0"/>
          <w:sz w:val="32"/>
          <w:szCs w:val="32"/>
          <w:shd w:val="clear" w:color="auto" w:fill="FFFFFF"/>
          <w:lang w:val="zh-CN"/>
        </w:rPr>
        <w:t>一、部门基本情况</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（一）机构组成</w:t>
      </w:r>
    </w:p>
    <w:p>
      <w:pPr>
        <w:spacing w:line="600" w:lineRule="exact"/>
        <w:ind w:firstLine="640"/>
        <w:rPr>
          <w:rFonts w:eastAsia="仿宋_GB2312" w:cs="仿宋_GB2312"/>
          <w:sz w:val="32"/>
          <w:szCs w:val="32"/>
        </w:rPr>
      </w:pPr>
      <w:r>
        <w:rPr>
          <w:rFonts w:hint="eastAsia" w:eastAsia="仿宋_GB2312" w:cs="仿宋_GB2312"/>
          <w:sz w:val="32"/>
          <w:szCs w:val="32"/>
        </w:rPr>
        <w:t>沐川县档案馆属县委直属参公事业单位，内设办公室、业务股两个股室，核参公事业编制6个。</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（二）机构职能</w:t>
      </w:r>
    </w:p>
    <w:p>
      <w:pPr>
        <w:spacing w:line="600" w:lineRule="exact"/>
        <w:ind w:firstLine="640"/>
        <w:rPr>
          <w:rFonts w:eastAsia="仿宋_GB2312" w:cs="仿宋_GB2312"/>
          <w:sz w:val="32"/>
          <w:szCs w:val="32"/>
        </w:rPr>
      </w:pPr>
      <w:r>
        <w:rPr>
          <w:rFonts w:hint="eastAsia" w:eastAsia="仿宋_GB2312" w:cs="仿宋_GB2312"/>
          <w:sz w:val="32"/>
          <w:szCs w:val="32"/>
        </w:rPr>
        <w:t>1．负责接收、征集全县范围内的重要档案资料，确保档案资料的完整与安全。2．负责全县重大活动和重大项目档案资料管理工作。3．负责对馆藏档案资料进行规范化、科学化保管、保护，对破损、字迹褪变的档案进行抢救、修复，对馆藏国家重点档案的抢救。4．开展馆藏档案信息资源利用工作，为党委和政府决策提供参考。5．负责档案馆馆藏档案资料的汇编、选编、合编等编研工作。6．负责馆藏档案资料的鉴定、查询服务和销毁工作。7．指导全县各单位档案业务及村（社区）组织的档案工作，做好档案宣传和档案文化建设工作，完成县委、县政府交办的其他工作。</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（三）人员概况</w:t>
      </w:r>
    </w:p>
    <w:p>
      <w:pPr>
        <w:spacing w:line="600" w:lineRule="exact"/>
        <w:ind w:firstLine="640"/>
        <w:rPr>
          <w:rFonts w:eastAsia="仿宋_GB2312" w:cs="仿宋_GB2312"/>
          <w:sz w:val="32"/>
          <w:szCs w:val="32"/>
        </w:rPr>
      </w:pPr>
      <w:r>
        <w:rPr>
          <w:rFonts w:hint="eastAsia" w:eastAsia="仿宋_GB2312" w:cs="仿宋_GB2312"/>
          <w:sz w:val="32"/>
          <w:szCs w:val="32"/>
        </w:rPr>
        <w:t>机关2025年在编人员6名（馆长编制在县委办），其中：副馆长1名，参公人员5名。机关退休人员5名，临聘人员1名，公益性岗位1名。</w:t>
      </w:r>
    </w:p>
    <w:p>
      <w:pPr>
        <w:widowControl/>
        <w:adjustRightInd w:val="0"/>
        <w:snapToGrid w:val="0"/>
        <w:spacing w:line="580" w:lineRule="exact"/>
        <w:ind w:firstLine="640" w:firstLineChars="200"/>
        <w:contextualSpacing/>
        <w:jc w:val="left"/>
        <w:rPr>
          <w:rFonts w:cs="宋体"/>
          <w:color w:val="FF0000"/>
          <w:sz w:val="32"/>
          <w:szCs w:val="32"/>
          <w:shd w:val="clear" w:color="auto" w:fill="FFFFFF"/>
        </w:rPr>
      </w:pPr>
      <w:r>
        <w:rPr>
          <w:rFonts w:hint="eastAsia" w:ascii="黑体" w:hAnsi="黑体" w:eastAsia="黑体" w:cs="宋体"/>
          <w:color w:val="000000"/>
          <w:kern w:val="0"/>
          <w:sz w:val="32"/>
          <w:szCs w:val="32"/>
          <w:shd w:val="clear" w:color="auto" w:fill="FFFFFF"/>
          <w:lang w:val="zh-CN"/>
        </w:rPr>
        <w:t>二、部门财政资金收支情况</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（一）收入情况</w:t>
      </w:r>
    </w:p>
    <w:p>
      <w:pPr>
        <w:spacing w:line="600" w:lineRule="exact"/>
        <w:ind w:firstLine="640"/>
        <w:rPr>
          <w:rFonts w:eastAsia="仿宋_GB2312" w:cs="仿宋_GB2312"/>
          <w:sz w:val="32"/>
          <w:szCs w:val="32"/>
        </w:rPr>
      </w:pPr>
      <w:r>
        <w:rPr>
          <w:rFonts w:hint="eastAsia" w:eastAsia="仿宋_GB2312" w:cs="仿宋_GB2312"/>
          <w:sz w:val="32"/>
          <w:szCs w:val="32"/>
        </w:rPr>
        <w:t>2025年档案馆部门预算收入总额为88.99万元，其中：当年财政拨款88.99万元。</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（二）支出情况</w:t>
      </w:r>
    </w:p>
    <w:p>
      <w:pPr>
        <w:spacing w:line="600" w:lineRule="exact"/>
        <w:ind w:firstLine="640"/>
        <w:rPr>
          <w:rFonts w:eastAsia="仿宋_GB2312" w:cs="仿宋_GB2312"/>
          <w:sz w:val="32"/>
          <w:szCs w:val="32"/>
        </w:rPr>
      </w:pPr>
      <w:r>
        <w:rPr>
          <w:rFonts w:hint="eastAsia" w:eastAsia="仿宋_GB2312" w:cs="仿宋_GB2312"/>
          <w:sz w:val="32"/>
          <w:szCs w:val="32"/>
        </w:rPr>
        <w:t>2025年度档案馆部门实际支出总计106.28万元，其中：基本支出92.8万元，项目支出13.48万元。</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（三）结余分配和结转结余情况</w:t>
      </w:r>
    </w:p>
    <w:p>
      <w:pPr>
        <w:spacing w:line="600" w:lineRule="exact"/>
        <w:ind w:firstLine="640"/>
        <w:rPr>
          <w:rFonts w:eastAsia="仿宋_GB2312" w:cs="仿宋_GB2312"/>
          <w:sz w:val="32"/>
          <w:szCs w:val="32"/>
        </w:rPr>
      </w:pPr>
      <w:r>
        <w:rPr>
          <w:rFonts w:hint="eastAsia" w:eastAsia="仿宋_GB2312" w:cs="仿宋_GB2312"/>
          <w:sz w:val="32"/>
          <w:szCs w:val="32"/>
        </w:rPr>
        <w:t>本年度无资金结转结余。</w:t>
      </w:r>
    </w:p>
    <w:p>
      <w:pPr>
        <w:widowControl/>
        <w:adjustRightInd w:val="0"/>
        <w:snapToGrid w:val="0"/>
        <w:spacing w:line="580" w:lineRule="exact"/>
        <w:ind w:firstLine="640" w:firstLineChars="200"/>
        <w:contextualSpacing/>
        <w:jc w:val="left"/>
        <w:rPr>
          <w:rFonts w:ascii="黑体" w:hAnsi="黑体" w:eastAsia="黑体" w:cs="宋体"/>
          <w:color w:val="000000"/>
          <w:kern w:val="0"/>
          <w:sz w:val="32"/>
          <w:szCs w:val="32"/>
          <w:shd w:val="clear" w:color="auto" w:fill="FFFFFF"/>
          <w:lang w:val="zh-CN"/>
        </w:rPr>
      </w:pPr>
      <w:r>
        <w:rPr>
          <w:rFonts w:hint="eastAsia" w:ascii="黑体" w:hAnsi="黑体" w:eastAsia="黑体" w:cs="宋体"/>
          <w:color w:val="000000"/>
          <w:kern w:val="0"/>
          <w:sz w:val="32"/>
          <w:szCs w:val="32"/>
          <w:shd w:val="clear" w:color="auto" w:fill="FFFFFF"/>
          <w:lang w:val="zh-CN"/>
        </w:rPr>
        <w:t>三、部门预算绩效分析</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（一）部门预算总体绩效分析</w:t>
      </w:r>
    </w:p>
    <w:p>
      <w:pPr>
        <w:spacing w:line="600" w:lineRule="exact"/>
        <w:ind w:firstLine="640"/>
        <w:rPr>
          <w:rFonts w:eastAsia="仿宋_GB2312" w:cs="仿宋_GB2312"/>
          <w:sz w:val="32"/>
          <w:szCs w:val="32"/>
        </w:rPr>
      </w:pPr>
      <w:r>
        <w:rPr>
          <w:rFonts w:hint="eastAsia" w:eastAsia="仿宋_GB2312" w:cs="仿宋_GB2312"/>
          <w:sz w:val="32"/>
          <w:szCs w:val="32"/>
        </w:rPr>
        <w:t>1.履职效能：</w:t>
      </w:r>
    </w:p>
    <w:p>
      <w:pPr>
        <w:spacing w:line="600" w:lineRule="exact"/>
        <w:ind w:firstLine="640"/>
        <w:rPr>
          <w:rFonts w:eastAsia="仿宋_GB2312" w:cs="仿宋_GB2312"/>
          <w:sz w:val="32"/>
          <w:szCs w:val="32"/>
        </w:rPr>
      </w:pPr>
      <w:r>
        <w:rPr>
          <w:rFonts w:hint="eastAsia" w:eastAsia="仿宋_GB2312" w:cs="仿宋_GB2312"/>
          <w:sz w:val="32"/>
          <w:szCs w:val="32"/>
        </w:rPr>
        <w:t>自评得分15分。一是有效保障了公务运转正常开展，部门整体绩效达到预期目标要求。二是着力提升档案服务水平,坚持现场查档服务为主，积极开展电话查档、信函查档、电邮查档、跨馆查档等服务，不断提升查档服务便捷性。三是着力开展档案资政编研,积极会同县党史地志部门开展编研编撰，利用脱贫攻坚档案资料，配合完成《沐川扶贫志》编撰工作，为黄丹镇、舟坝镇、沐溪镇3个乡镇编撰乡镇志提供档案1884件、提供第一手档案598卷（件）。积极开展“我心向往.乐山乐山”沐川篇资政文稿编撰，形成“草龙故里 竹子之乡 魔芋之乡”资政文稿1篇，为宣传沐川、助力沐川文旅融合发展贡献档案力量。四是加大档案征集力度,今年共征集到国家级非遗文化-沐川草龙相关获奖证书证件、活动照片等照片档案53张，文献资料36份，传承人信息表5张，视频3部约180MB，为沐川草龙这一国家级非遗文化传承和保护提供了有力支撑。五是全力推进数字档案馆建设，全面完成沐川县数字档案馆建设方案设计、预算编制、项目审批和一期项目财政评审、公开招标、合同签订等工作，并于2025年底正式动工建设。</w:t>
      </w:r>
    </w:p>
    <w:p>
      <w:pPr>
        <w:spacing w:line="600" w:lineRule="exact"/>
        <w:ind w:firstLine="640"/>
        <w:rPr>
          <w:rFonts w:eastAsia="仿宋_GB2312" w:cs="仿宋_GB2312"/>
          <w:sz w:val="32"/>
          <w:szCs w:val="32"/>
        </w:rPr>
      </w:pPr>
      <w:r>
        <w:rPr>
          <w:rFonts w:hint="eastAsia" w:eastAsia="仿宋_GB2312" w:cs="仿宋_GB2312"/>
          <w:sz w:val="32"/>
          <w:szCs w:val="32"/>
        </w:rPr>
        <w:t>2.预算管理：</w:t>
      </w:r>
    </w:p>
    <w:p>
      <w:pPr>
        <w:spacing w:line="600" w:lineRule="exact"/>
        <w:ind w:firstLine="640"/>
        <w:rPr>
          <w:rFonts w:eastAsia="仿宋_GB2312" w:cs="仿宋_GB2312"/>
          <w:sz w:val="32"/>
          <w:szCs w:val="32"/>
        </w:rPr>
      </w:pPr>
      <w:r>
        <w:rPr>
          <w:rFonts w:hint="eastAsia" w:eastAsia="仿宋_GB2312" w:cs="仿宋_GB2312"/>
          <w:sz w:val="32"/>
          <w:szCs w:val="32"/>
        </w:rPr>
        <w:t>自评得分21分。县档案馆围绕主要工作职责，严格按照年初财政下达的预算指标编制年初部门预算，召开馆务会集体研究预算支出安排，细化量化整体绩效指标，完善绩效目标保障措施，明确项目绩效质量要求，做到预算编制科学、准确。认真遵守中央八项规定和省委省政府十项规定，严格控制“三公”经费支出，2025年因公出国（境）费0万元，公务用车购置费0万元，公务用车运行维护费0万元，公务接待费0万元。</w:t>
      </w:r>
    </w:p>
    <w:p>
      <w:pPr>
        <w:spacing w:line="600" w:lineRule="exact"/>
        <w:ind w:firstLine="640"/>
        <w:rPr>
          <w:rFonts w:eastAsia="仿宋_GB2312" w:cs="仿宋_GB2312"/>
          <w:sz w:val="32"/>
          <w:szCs w:val="32"/>
        </w:rPr>
      </w:pPr>
      <w:r>
        <w:rPr>
          <w:rFonts w:hint="eastAsia" w:eastAsia="仿宋_GB2312" w:cs="仿宋_GB2312"/>
          <w:sz w:val="32"/>
          <w:szCs w:val="32"/>
        </w:rPr>
        <w:t>3.财务管理：</w:t>
      </w:r>
    </w:p>
    <w:p>
      <w:pPr>
        <w:spacing w:line="600" w:lineRule="exact"/>
        <w:ind w:firstLine="640"/>
        <w:rPr>
          <w:rFonts w:eastAsia="仿宋_GB2312" w:cs="仿宋_GB2312"/>
          <w:sz w:val="32"/>
          <w:szCs w:val="32"/>
        </w:rPr>
      </w:pPr>
      <w:r>
        <w:rPr>
          <w:rFonts w:hint="eastAsia" w:eastAsia="仿宋_GB2312" w:cs="仿宋_GB2312"/>
          <w:sz w:val="32"/>
          <w:szCs w:val="32"/>
        </w:rPr>
        <w:t>自评得分10分。县档案馆按照要求建立部门财务管理制度，部门财务岗位设置符合相关管理制度要求，部门资金使用符合相关财务管理制度规定。</w:t>
      </w:r>
    </w:p>
    <w:p>
      <w:pPr>
        <w:spacing w:line="600" w:lineRule="exact"/>
        <w:ind w:firstLine="640"/>
        <w:rPr>
          <w:rFonts w:eastAsia="仿宋_GB2312" w:cs="仿宋_GB2312"/>
          <w:sz w:val="32"/>
          <w:szCs w:val="32"/>
        </w:rPr>
      </w:pPr>
      <w:r>
        <w:rPr>
          <w:rFonts w:hint="eastAsia" w:eastAsia="仿宋_GB2312" w:cs="仿宋_GB2312"/>
          <w:sz w:val="32"/>
          <w:szCs w:val="32"/>
        </w:rPr>
        <w:t>4.资产管理：</w:t>
      </w:r>
    </w:p>
    <w:p>
      <w:pPr>
        <w:spacing w:line="600" w:lineRule="exact"/>
        <w:ind w:firstLine="640"/>
        <w:rPr>
          <w:rFonts w:eastAsia="仿宋_GB2312" w:cs="仿宋_GB2312"/>
          <w:sz w:val="32"/>
          <w:szCs w:val="32"/>
        </w:rPr>
      </w:pPr>
      <w:r>
        <w:rPr>
          <w:rFonts w:hint="eastAsia" w:eastAsia="仿宋_GB2312" w:cs="仿宋_GB2312"/>
          <w:sz w:val="32"/>
          <w:szCs w:val="32"/>
        </w:rPr>
        <w:t>自评得分9分。县档案馆本年度部门人均资产变动合理，部门资产整体使用效率较高，大部分资产已超过规定的最低使用年限仍保持良好运行状态，无闲置资产。</w:t>
      </w:r>
    </w:p>
    <w:p>
      <w:pPr>
        <w:spacing w:line="600" w:lineRule="exact"/>
        <w:ind w:firstLine="640"/>
        <w:rPr>
          <w:rFonts w:eastAsia="仿宋_GB2312" w:cs="仿宋_GB2312"/>
          <w:sz w:val="32"/>
          <w:szCs w:val="32"/>
        </w:rPr>
      </w:pPr>
      <w:r>
        <w:rPr>
          <w:rFonts w:hint="eastAsia" w:eastAsia="仿宋_GB2312" w:cs="仿宋_GB2312"/>
          <w:sz w:val="32"/>
          <w:szCs w:val="32"/>
        </w:rPr>
        <w:t>5.采购管理：</w:t>
      </w:r>
    </w:p>
    <w:p>
      <w:pPr>
        <w:spacing w:line="600" w:lineRule="exact"/>
        <w:ind w:firstLine="640"/>
        <w:rPr>
          <w:rFonts w:eastAsia="仿宋_GB2312" w:cs="仿宋_GB2312"/>
          <w:sz w:val="32"/>
          <w:szCs w:val="32"/>
        </w:rPr>
      </w:pPr>
      <w:r>
        <w:rPr>
          <w:rFonts w:hint="eastAsia" w:eastAsia="仿宋_GB2312" w:cs="仿宋_GB2312"/>
          <w:sz w:val="32"/>
          <w:szCs w:val="32"/>
        </w:rPr>
        <w:t>自评得分6分。严格按政府采购法及实施条例规定执行政府采购，采购项目资金支付率达到100%。</w:t>
      </w:r>
    </w:p>
    <w:p>
      <w:pPr>
        <w:spacing w:line="600" w:lineRule="exact"/>
        <w:ind w:firstLine="640"/>
        <w:rPr>
          <w:rFonts w:eastAsia="仿宋_GB2312" w:cs="仿宋_GB2312"/>
          <w:sz w:val="32"/>
          <w:szCs w:val="32"/>
        </w:rPr>
      </w:pPr>
      <w:r>
        <w:rPr>
          <w:rFonts w:hint="eastAsia" w:eastAsia="仿宋_GB2312" w:cs="仿宋_GB2312"/>
          <w:sz w:val="32"/>
          <w:szCs w:val="32"/>
        </w:rPr>
        <w:t>保障了档案馆正常履行职能，各项工作履责到位。</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（二）部门预算项目绩效分析</w:t>
      </w:r>
    </w:p>
    <w:p>
      <w:pPr>
        <w:spacing w:line="600" w:lineRule="exact"/>
        <w:ind w:firstLine="640"/>
        <w:rPr>
          <w:rFonts w:eastAsia="仿宋_GB2312" w:cs="仿宋_GB2312"/>
          <w:sz w:val="32"/>
          <w:szCs w:val="32"/>
        </w:rPr>
      </w:pPr>
      <w:r>
        <w:rPr>
          <w:rFonts w:hint="eastAsia" w:eastAsia="仿宋_GB2312" w:cs="仿宋_GB2312"/>
          <w:sz w:val="32"/>
          <w:szCs w:val="32"/>
        </w:rPr>
        <w:t>2025年，部门常年项目总数2个，涉及预算总金额14万元，1—12月预算执行总体进度为96.29%，其中：预算结余率大于10%的项目0个。</w:t>
      </w:r>
    </w:p>
    <w:p>
      <w:pPr>
        <w:spacing w:line="600" w:lineRule="exact"/>
        <w:ind w:firstLine="640"/>
        <w:rPr>
          <w:rFonts w:eastAsia="仿宋_GB2312" w:cs="仿宋_GB2312"/>
          <w:sz w:val="32"/>
          <w:szCs w:val="32"/>
        </w:rPr>
      </w:pPr>
      <w:r>
        <w:rPr>
          <w:rFonts w:hint="eastAsia" w:eastAsia="仿宋_GB2312" w:cs="仿宋_GB2312"/>
          <w:sz w:val="32"/>
          <w:szCs w:val="32"/>
        </w:rPr>
        <w:t>2025年，部门阶段（一次性）项目总数0个。</w:t>
      </w:r>
    </w:p>
    <w:p>
      <w:pPr>
        <w:spacing w:line="600" w:lineRule="exact"/>
        <w:ind w:firstLine="640"/>
        <w:rPr>
          <w:rFonts w:eastAsia="仿宋_GB2312" w:cs="仿宋_GB2312"/>
          <w:sz w:val="32"/>
          <w:szCs w:val="32"/>
        </w:rPr>
      </w:pPr>
      <w:r>
        <w:rPr>
          <w:rFonts w:hint="eastAsia" w:eastAsia="仿宋_GB2312" w:cs="仿宋_GB2312"/>
          <w:sz w:val="32"/>
          <w:szCs w:val="32"/>
        </w:rPr>
        <w:t>1.项目决策：</w:t>
      </w:r>
    </w:p>
    <w:p>
      <w:pPr>
        <w:spacing w:line="600" w:lineRule="exact"/>
        <w:ind w:firstLine="640"/>
        <w:rPr>
          <w:rFonts w:eastAsia="仿宋_GB2312" w:cs="仿宋_GB2312"/>
          <w:sz w:val="32"/>
          <w:szCs w:val="32"/>
        </w:rPr>
      </w:pPr>
      <w:r>
        <w:rPr>
          <w:rFonts w:hint="eastAsia" w:eastAsia="仿宋_GB2312" w:cs="仿宋_GB2312"/>
          <w:sz w:val="32"/>
          <w:szCs w:val="32"/>
        </w:rPr>
        <w:t>自评得分12分。2025年档案馆部门预算项目设立按照规定履行评估论证、申报程序，部门预算项目绩效目标与预算安排匹配，绩效目标设置规范完整、量化细化，且在规定时间内完成项目入库。</w:t>
      </w:r>
    </w:p>
    <w:p>
      <w:pPr>
        <w:spacing w:line="600" w:lineRule="exact"/>
        <w:ind w:firstLine="640"/>
        <w:rPr>
          <w:rFonts w:eastAsia="仿宋_GB2312" w:cs="仿宋_GB2312"/>
          <w:sz w:val="32"/>
          <w:szCs w:val="32"/>
        </w:rPr>
      </w:pPr>
      <w:r>
        <w:rPr>
          <w:rFonts w:hint="eastAsia" w:eastAsia="仿宋_GB2312" w:cs="仿宋_GB2312"/>
          <w:sz w:val="32"/>
          <w:szCs w:val="32"/>
        </w:rPr>
        <w:t>档案保管保护专项经费，主要用于全县档案接收进馆、馆藏档案的整理、管理、开发利用和保管保护工作的支出，全年预算数8万元，决算数7.49万元，预算完成93.63%。项目编制合理，有利于档案工作的正常开展。严格遵守各项财经管理规定，严格按照规范实施，无违规行为。</w:t>
      </w:r>
    </w:p>
    <w:p>
      <w:pPr>
        <w:spacing w:line="600" w:lineRule="exact"/>
        <w:ind w:firstLine="640"/>
        <w:rPr>
          <w:rFonts w:eastAsia="仿宋_GB2312" w:cs="仿宋_GB2312"/>
          <w:sz w:val="32"/>
          <w:szCs w:val="32"/>
        </w:rPr>
      </w:pPr>
      <w:r>
        <w:rPr>
          <w:rFonts w:hint="eastAsia" w:eastAsia="仿宋_GB2312" w:cs="仿宋_GB2312"/>
          <w:sz w:val="32"/>
          <w:szCs w:val="32"/>
        </w:rPr>
        <w:t>国有企业退休人员社会化管理补助项目，主要用于国有企业退休人员管理经费使用，全年预算数6万元，决算数5.99万元，预算完成99.83%。项目编制合理，有利于档案工作的正常开展。严格遵守各项财经管理规定，严格按照规范实施，无违规行为。</w:t>
      </w:r>
    </w:p>
    <w:p>
      <w:pPr>
        <w:spacing w:line="600" w:lineRule="exact"/>
        <w:ind w:firstLine="640"/>
        <w:rPr>
          <w:rFonts w:eastAsia="仿宋_GB2312" w:cs="仿宋_GB2312"/>
          <w:sz w:val="32"/>
          <w:szCs w:val="32"/>
        </w:rPr>
      </w:pPr>
      <w:r>
        <w:rPr>
          <w:rFonts w:hint="eastAsia" w:eastAsia="仿宋_GB2312" w:cs="仿宋_GB2312"/>
          <w:sz w:val="32"/>
          <w:szCs w:val="32"/>
        </w:rPr>
        <w:t>2.项目执行：</w:t>
      </w:r>
    </w:p>
    <w:p>
      <w:pPr>
        <w:spacing w:line="600" w:lineRule="exact"/>
        <w:ind w:firstLine="640"/>
        <w:rPr>
          <w:rFonts w:eastAsia="仿宋_GB2312" w:cs="仿宋_GB2312"/>
          <w:sz w:val="32"/>
          <w:szCs w:val="32"/>
        </w:rPr>
      </w:pPr>
      <w:r>
        <w:rPr>
          <w:rFonts w:hint="eastAsia" w:eastAsia="仿宋_GB2312" w:cs="仿宋_GB2312"/>
          <w:sz w:val="32"/>
          <w:szCs w:val="32"/>
        </w:rPr>
        <w:t>自评得分12分。2025年部门预算项目实际列支内容与绩效目标设置方向相符，对实际执行与绩效目标发生偏离的阶段项目及时采取收回预算、调整目标等措施。2025年部门预算项目结余小于10%的常年项目2个，占常年项目总数100%。</w:t>
      </w:r>
    </w:p>
    <w:p>
      <w:pPr>
        <w:spacing w:line="600" w:lineRule="exact"/>
        <w:ind w:firstLine="640"/>
        <w:rPr>
          <w:rFonts w:eastAsia="仿宋_GB2312" w:cs="仿宋_GB2312"/>
          <w:sz w:val="32"/>
          <w:szCs w:val="32"/>
        </w:rPr>
      </w:pPr>
      <w:r>
        <w:rPr>
          <w:rFonts w:hint="eastAsia" w:eastAsia="仿宋_GB2312" w:cs="仿宋_GB2312"/>
          <w:sz w:val="32"/>
          <w:szCs w:val="32"/>
        </w:rPr>
        <w:t>3.目标实现：</w:t>
      </w:r>
    </w:p>
    <w:p>
      <w:pPr>
        <w:spacing w:line="600" w:lineRule="exact"/>
        <w:ind w:firstLine="640"/>
        <w:rPr>
          <w:rFonts w:eastAsia="仿宋_GB2312" w:cs="仿宋_GB2312"/>
          <w:sz w:val="32"/>
          <w:szCs w:val="32"/>
        </w:rPr>
      </w:pPr>
      <w:r>
        <w:rPr>
          <w:rFonts w:hint="eastAsia" w:eastAsia="仿宋_GB2312" w:cs="仿宋_GB2312"/>
          <w:sz w:val="32"/>
          <w:szCs w:val="32"/>
        </w:rPr>
        <w:t>自评得分11分。2025年部门预算阶段项目（含一次性项目）绩效目标完成较好，绩效目标数量指标和效益指标未完成的项目0个，完成的项目2个，绩效目标数量指标实现程度与预期目标无偏离。</w:t>
      </w:r>
    </w:p>
    <w:p>
      <w:pPr>
        <w:spacing w:line="600" w:lineRule="exact"/>
        <w:ind w:firstLine="640"/>
        <w:rPr>
          <w:rFonts w:eastAsia="仿宋_GB2312" w:cs="仿宋_GB2312"/>
          <w:sz w:val="32"/>
          <w:szCs w:val="32"/>
        </w:rPr>
      </w:pPr>
      <w:r>
        <w:rPr>
          <w:rFonts w:hint="eastAsia" w:eastAsia="仿宋_GB2312" w:cs="仿宋_GB2312"/>
          <w:sz w:val="32"/>
          <w:szCs w:val="32"/>
        </w:rPr>
        <w:t>2025年，我馆涉及国有资本经营预算支出6万元，主要用于国有企业退休人员管理经费使用，全年预算数6万元，决算数5.99万元，预算完成99.83%。项目编制合理，有利于档案工作的正常开展。</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（三）绩效结果应用情况</w:t>
      </w:r>
    </w:p>
    <w:p>
      <w:pPr>
        <w:spacing w:line="600" w:lineRule="exact"/>
        <w:ind w:firstLine="640"/>
        <w:rPr>
          <w:rFonts w:eastAsia="仿宋_GB2312" w:cs="仿宋_GB2312"/>
          <w:sz w:val="32"/>
          <w:szCs w:val="32"/>
        </w:rPr>
      </w:pPr>
      <w:r>
        <w:rPr>
          <w:rFonts w:hint="eastAsia" w:eastAsia="仿宋_GB2312" w:cs="仿宋_GB2312"/>
          <w:sz w:val="32"/>
          <w:szCs w:val="32"/>
        </w:rPr>
        <w:t>县档案馆严格落实部门预算绩效监控工作，定期开展绩效运行监控，按照相关规定及时进行绩效自评、整改并及时在政府网站公开相关预算、决算信息。</w:t>
      </w:r>
    </w:p>
    <w:p>
      <w:pPr>
        <w:widowControl/>
        <w:adjustRightInd w:val="0"/>
        <w:snapToGrid w:val="0"/>
        <w:spacing w:line="580" w:lineRule="exact"/>
        <w:ind w:firstLine="640" w:firstLineChars="200"/>
        <w:contextualSpacing/>
        <w:jc w:val="left"/>
        <w:rPr>
          <w:rFonts w:ascii="黑体" w:hAnsi="黑体" w:eastAsia="黑体" w:cs="宋体"/>
          <w:color w:val="000000"/>
          <w:kern w:val="0"/>
          <w:sz w:val="32"/>
          <w:szCs w:val="32"/>
          <w:shd w:val="clear" w:color="auto" w:fill="FFFFFF"/>
          <w:lang w:val="zh-CN"/>
        </w:rPr>
      </w:pPr>
      <w:r>
        <w:rPr>
          <w:rFonts w:hint="eastAsia" w:ascii="黑体" w:hAnsi="黑体" w:eastAsia="黑体" w:cs="宋体"/>
          <w:color w:val="000000"/>
          <w:kern w:val="0"/>
          <w:sz w:val="32"/>
          <w:szCs w:val="32"/>
          <w:shd w:val="clear" w:color="auto" w:fill="FFFFFF"/>
          <w:lang w:val="zh-CN"/>
        </w:rPr>
        <w:t>四、评价结论及建议</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（一）评价结论</w:t>
      </w:r>
    </w:p>
    <w:p>
      <w:pPr>
        <w:spacing w:line="600" w:lineRule="exact"/>
        <w:ind w:firstLine="640"/>
        <w:rPr>
          <w:rFonts w:eastAsia="仿宋_GB2312" w:cs="仿宋_GB2312"/>
          <w:sz w:val="32"/>
          <w:szCs w:val="32"/>
        </w:rPr>
      </w:pPr>
      <w:r>
        <w:rPr>
          <w:rFonts w:hint="eastAsia" w:eastAsia="仿宋_GB2312" w:cs="仿宋_GB2312"/>
          <w:sz w:val="32"/>
          <w:szCs w:val="32"/>
        </w:rPr>
        <w:t>2025年县档案馆严格执行财政批复的预算，部门绩效目标编制合理可行，严格按照项目资金相关规定和绩效管理要求，加强资金管理，较好地完成了年初制定的目标任务，保障了档案馆职能职责高效履行，自评总得分96分。</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（二）存在问题</w:t>
      </w:r>
    </w:p>
    <w:p>
      <w:pPr>
        <w:spacing w:line="600" w:lineRule="exact"/>
        <w:ind w:firstLine="640"/>
        <w:rPr>
          <w:rFonts w:eastAsia="仿宋_GB2312" w:cs="仿宋_GB2312"/>
          <w:sz w:val="32"/>
          <w:szCs w:val="32"/>
        </w:rPr>
      </w:pPr>
      <w:r>
        <w:rPr>
          <w:rFonts w:hint="eastAsia" w:eastAsia="仿宋_GB2312" w:cs="仿宋_GB2312"/>
          <w:sz w:val="32"/>
          <w:szCs w:val="32"/>
        </w:rPr>
        <w:t>一是财务人员业务能力有待进一步提升；二是部门整体绩效评价管理制度和体系有待进一步健全完善。</w:t>
      </w:r>
    </w:p>
    <w:p>
      <w:pPr>
        <w:widowControl/>
        <w:adjustRightInd w:val="0"/>
        <w:snapToGrid w:val="0"/>
        <w:spacing w:line="58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楷体_GB2312" w:hAnsi="宋体" w:eastAsia="楷体_GB2312" w:cs="宋体"/>
          <w:color w:val="000000"/>
          <w:kern w:val="0"/>
          <w:sz w:val="32"/>
          <w:szCs w:val="32"/>
          <w:shd w:val="clear" w:color="auto" w:fill="FFFFFF"/>
          <w:lang w:val="zh-CN"/>
        </w:rPr>
        <w:t>（三）改进建议</w:t>
      </w:r>
    </w:p>
    <w:p>
      <w:pPr>
        <w:spacing w:line="600" w:lineRule="exact"/>
        <w:ind w:firstLine="640"/>
        <w:rPr>
          <w:rFonts w:eastAsia="仿宋_GB2312" w:cs="仿宋_GB2312"/>
          <w:sz w:val="32"/>
          <w:szCs w:val="32"/>
        </w:rPr>
      </w:pPr>
      <w:r>
        <w:rPr>
          <w:rFonts w:hint="eastAsia" w:eastAsia="仿宋_GB2312" w:cs="仿宋_GB2312"/>
          <w:sz w:val="32"/>
          <w:szCs w:val="32"/>
        </w:rPr>
        <w:t>在今后的工作中，我馆将严格按照《中华人民共和国预算法》要求，按照项目开展进度有计划申请资金，并及时进行支付，持续加强对绩效评价制度、体系的学习和实践，常态化组织财务业务人员开展业务知识学习和培训，用好用活各类财政资金，强化财务管理的日常监督和检查，不断提升财务管理和支出绩效目标管理水平。</w:t>
      </w:r>
    </w:p>
    <w:p>
      <w:pPr>
        <w:spacing w:line="600" w:lineRule="exact"/>
        <w:ind w:firstLine="640"/>
        <w:rPr>
          <w:rFonts w:eastAsia="仿宋_GB2312" w:cs="仿宋_GB2312"/>
          <w:sz w:val="32"/>
          <w:szCs w:val="32"/>
        </w:rPr>
      </w:pPr>
      <w:r>
        <w:rPr>
          <w:rFonts w:hint="eastAsia" w:eastAsia="仿宋_GB2312" w:cs="仿宋_GB2312"/>
          <w:sz w:val="32"/>
          <w:szCs w:val="32"/>
        </w:rPr>
        <w:t>附表：部门预算项目支出绩效自评表</w:t>
      </w:r>
    </w:p>
    <w:p>
      <w:pPr>
        <w:widowControl/>
        <w:spacing w:line="578" w:lineRule="exact"/>
        <w:jc w:val="left"/>
        <w:textAlignment w:val="center"/>
        <w:rPr>
          <w:rFonts w:eastAsia="黑体"/>
        </w:rPr>
      </w:pPr>
      <w:r>
        <w:rPr>
          <w:rFonts w:hint="eastAsia" w:eastAsia="黑体" w:cs="黑体"/>
          <w:kern w:val="0"/>
          <w:sz w:val="32"/>
          <w:szCs w:val="32"/>
          <w:shd w:val="clear" w:color="auto" w:fill="FFFFFF"/>
          <w:lang w:val="zh-CN"/>
        </w:rPr>
        <w:br w:type="page"/>
      </w:r>
      <w:r>
        <w:rPr>
          <w:rFonts w:eastAsia="黑体"/>
        </w:rPr>
        <w:t>附表</w:t>
      </w:r>
    </w:p>
    <w:tbl>
      <w:tblPr>
        <w:tblStyle w:val="15"/>
        <w:tblW w:w="10460" w:type="dxa"/>
        <w:tblInd w:w="-855" w:type="dxa"/>
        <w:tblLayout w:type="autofit"/>
        <w:tblCellMar>
          <w:top w:w="0" w:type="dxa"/>
          <w:left w:w="108" w:type="dxa"/>
          <w:bottom w:w="0" w:type="dxa"/>
          <w:right w:w="108" w:type="dxa"/>
        </w:tblCellMar>
      </w:tblPr>
      <w:tblGrid>
        <w:gridCol w:w="697"/>
        <w:gridCol w:w="1202"/>
        <w:gridCol w:w="1202"/>
        <w:gridCol w:w="1629"/>
        <w:gridCol w:w="516"/>
        <w:gridCol w:w="1438"/>
        <w:gridCol w:w="516"/>
        <w:gridCol w:w="857"/>
        <w:gridCol w:w="136"/>
        <w:gridCol w:w="383"/>
        <w:gridCol w:w="576"/>
        <w:gridCol w:w="1308"/>
      </w:tblGrid>
      <w:tr>
        <w:tblPrEx>
          <w:tblCellMar>
            <w:top w:w="0" w:type="dxa"/>
            <w:left w:w="108" w:type="dxa"/>
            <w:bottom w:w="0" w:type="dxa"/>
            <w:right w:w="108" w:type="dxa"/>
          </w:tblCellMar>
        </w:tblPrEx>
        <w:trPr>
          <w:trHeight w:val="551" w:hRule="atLeast"/>
        </w:trPr>
        <w:tc>
          <w:tcPr>
            <w:tcW w:w="1046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bookmarkStart w:id="124" w:name="_Toc240573325"/>
            <w:r>
              <w:rPr>
                <w:rFonts w:hint="eastAsia" w:ascii="黑体" w:hAnsi="黑体" w:eastAsia="黑体" w:cs="宋体"/>
                <w:b/>
                <w:bCs/>
                <w:color w:val="000000"/>
                <w:kern w:val="0"/>
                <w:sz w:val="30"/>
                <w:szCs w:val="30"/>
              </w:rPr>
              <w:t>部门预算项目支出绩效自评表（2025年度）</w:t>
            </w:r>
          </w:p>
        </w:tc>
      </w:tr>
      <w:tr>
        <w:tblPrEx>
          <w:tblCellMar>
            <w:top w:w="0" w:type="dxa"/>
            <w:left w:w="108" w:type="dxa"/>
            <w:bottom w:w="0" w:type="dxa"/>
            <w:right w:w="108" w:type="dxa"/>
          </w:tblCellMar>
        </w:tblPrEx>
        <w:trPr>
          <w:trHeight w:val="285"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561"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51112922T000004922125-档案保管保护专项经费</w:t>
            </w:r>
          </w:p>
        </w:tc>
      </w:tr>
      <w:tr>
        <w:tblPrEx>
          <w:tblCellMar>
            <w:top w:w="0" w:type="dxa"/>
            <w:left w:w="108" w:type="dxa"/>
            <w:bottom w:w="0" w:type="dxa"/>
            <w:right w:w="108" w:type="dxa"/>
          </w:tblCellMar>
        </w:tblPrEx>
        <w:trPr>
          <w:trHeight w:val="295"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301"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档案馆部门</w:t>
            </w:r>
          </w:p>
        </w:tc>
        <w:tc>
          <w:tcPr>
            <w:tcW w:w="993" w:type="dxa"/>
            <w:gridSpan w:val="2"/>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xml:space="preserve">实施单位 </w:t>
            </w:r>
          </w:p>
        </w:tc>
        <w:tc>
          <w:tcPr>
            <w:tcW w:w="22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沐川县档案馆</w:t>
            </w:r>
          </w:p>
        </w:tc>
      </w:tr>
      <w:tr>
        <w:tblPrEx>
          <w:tblCellMar>
            <w:top w:w="0" w:type="dxa"/>
            <w:left w:w="108" w:type="dxa"/>
            <w:bottom w:w="0" w:type="dxa"/>
            <w:right w:w="108" w:type="dxa"/>
          </w:tblCellMar>
        </w:tblPrEx>
        <w:trPr>
          <w:trHeight w:val="285" w:hRule="atLeast"/>
        </w:trPr>
        <w:tc>
          <w:tcPr>
            <w:tcW w:w="69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202"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301"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260"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1210"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301"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Courier New" w:hAnsi="Courier New" w:cs="Courier New"/>
                <w:color w:val="000000"/>
                <w:kern w:val="0"/>
                <w:sz w:val="18"/>
                <w:szCs w:val="18"/>
              </w:rPr>
              <w:t xml:space="preserve">用于处理馆藏档案发生的霉变、虫蛀、破损，改善档案保护条件以及指导全县部门和乡镇的档案信息化工作，保证档案资源的开发利用。开展存量档案数字化及数字化档案信息化建设，对馆藏到期档案进行鉴定、整理和销毁等。 </w:t>
            </w:r>
          </w:p>
        </w:tc>
        <w:tc>
          <w:tcPr>
            <w:tcW w:w="3260"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全面完成</w:t>
            </w:r>
          </w:p>
        </w:tc>
      </w:tr>
      <w:tr>
        <w:tblPrEx>
          <w:tblCellMar>
            <w:top w:w="0" w:type="dxa"/>
            <w:left w:w="108" w:type="dxa"/>
            <w:bottom w:w="0" w:type="dxa"/>
            <w:right w:w="108" w:type="dxa"/>
          </w:tblCellMar>
        </w:tblPrEx>
        <w:trPr>
          <w:trHeight w:val="1185"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561"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完成虫害档案治理2371卷，对1400㎡库房进行除尘，同时配备恒温恒湿设备、防虫药物等，馆库保护条件得到改善；完成289张馆藏存量照片档案数字化整理；全年共征集到国家级非遗文化-沐川草龙相关获奖证书证件、活动照片等照片档案53张，文献资料36份，传承人信息表5张，视频3部约180MB，为沐川草龙这一国家级非遗文化传承和保护提供了有力支撑。</w:t>
            </w:r>
          </w:p>
        </w:tc>
      </w:tr>
      <w:tr>
        <w:tblPrEx>
          <w:tblCellMar>
            <w:top w:w="0" w:type="dxa"/>
            <w:left w:w="108" w:type="dxa"/>
            <w:bottom w:w="0" w:type="dxa"/>
            <w:right w:w="108" w:type="dxa"/>
          </w:tblCellMar>
        </w:tblPrEx>
        <w:trPr>
          <w:trHeight w:val="510" w:hRule="atLeast"/>
        </w:trPr>
        <w:tc>
          <w:tcPr>
            <w:tcW w:w="69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45"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7.49</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93.60%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9.4</w:t>
            </w:r>
          </w:p>
        </w:tc>
        <w:tc>
          <w:tcPr>
            <w:tcW w:w="130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90"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8.00</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7.49</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93.60%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308"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9"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308"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60"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308"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46"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308"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trPr>
        <w:tc>
          <w:tcPr>
            <w:tcW w:w="69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现有的馆藏档案</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26029</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卷</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质量指标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圆满完成2025年档案工作目标</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优良中低差</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2025年12月31日前</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规范整理案卷归档，有效利用</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54"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为全县经济建设、社会发展和科学研究服务</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trPr>
        <w:tc>
          <w:tcPr>
            <w:tcW w:w="805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cs="宋体"/>
                <w:color w:val="000000"/>
                <w:kern w:val="0"/>
                <w:sz w:val="18"/>
                <w:szCs w:val="18"/>
              </w:rPr>
            </w:pPr>
            <w:r>
              <w:rPr>
                <w:rFonts w:hint="eastAsia" w:ascii="宋体" w:hAnsi="宋体" w:cs="宋体"/>
                <w:color w:val="000000"/>
                <w:kern w:val="0"/>
                <w:sz w:val="18"/>
                <w:szCs w:val="18"/>
              </w:rPr>
              <w:t>99.4</w:t>
            </w:r>
          </w:p>
        </w:tc>
        <w:tc>
          <w:tcPr>
            <w:tcW w:w="1308"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705"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763" w:type="dxa"/>
            <w:gridSpan w:val="11"/>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2025年度档案保管保护专项经费项目自评总分99.4分（预算执行率得分9.4分，绩效指标得分90分）。项目实施成效显著：完成虫害档案治理2371卷，库房除尘1400㎡并配备恒温恒湿设备、防虫药物，馆藏保护条件明显改善；完成存量照片档案数字化289张；征集国家级非遗“沐川草龙”相关照片53张、文献36份、传承信息表5张、视频3部（约180MB）。项目有效支撑了档案资源保护与非遗文化传承，全面达成年度目标。</w:t>
            </w:r>
          </w:p>
        </w:tc>
      </w:tr>
      <w:tr>
        <w:tblPrEx>
          <w:tblCellMar>
            <w:top w:w="0" w:type="dxa"/>
            <w:left w:w="108" w:type="dxa"/>
            <w:bottom w:w="0" w:type="dxa"/>
            <w:right w:w="108" w:type="dxa"/>
          </w:tblCellMar>
        </w:tblPrEx>
        <w:trPr>
          <w:trHeight w:val="574"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763" w:type="dxa"/>
            <w:gridSpan w:val="11"/>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预算执行率为93.60%，存在少量资金未支付</w:t>
            </w:r>
          </w:p>
        </w:tc>
      </w:tr>
      <w:tr>
        <w:tblPrEx>
          <w:tblCellMar>
            <w:top w:w="0" w:type="dxa"/>
            <w:left w:w="108" w:type="dxa"/>
            <w:bottom w:w="0" w:type="dxa"/>
            <w:right w:w="108" w:type="dxa"/>
          </w:tblCellMar>
        </w:tblPrEx>
        <w:trPr>
          <w:trHeight w:val="634"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763" w:type="dxa"/>
            <w:gridSpan w:val="11"/>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加强预算执行进度管理，合理安排资金支付计划。</w:t>
            </w:r>
          </w:p>
        </w:tc>
      </w:tr>
      <w:tr>
        <w:tblPrEx>
          <w:tblCellMar>
            <w:top w:w="0" w:type="dxa"/>
            <w:left w:w="108" w:type="dxa"/>
            <w:bottom w:w="0" w:type="dxa"/>
            <w:right w:w="108" w:type="dxa"/>
          </w:tblCellMar>
        </w:tblPrEx>
        <w:trPr>
          <w:trHeight w:val="285" w:hRule="atLeast"/>
        </w:trPr>
        <w:tc>
          <w:tcPr>
            <w:tcW w:w="52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w:t>
            </w:r>
          </w:p>
        </w:tc>
        <w:tc>
          <w:tcPr>
            <w:tcW w:w="5214" w:type="dxa"/>
            <w:gridSpan w:val="7"/>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w:t>
            </w:r>
          </w:p>
        </w:tc>
      </w:tr>
      <w:tr>
        <w:tblPrEx>
          <w:tblCellMar>
            <w:top w:w="0" w:type="dxa"/>
            <w:left w:w="108" w:type="dxa"/>
            <w:bottom w:w="0" w:type="dxa"/>
            <w:right w:w="108" w:type="dxa"/>
          </w:tblCellMar>
        </w:tblPrEx>
        <w:trPr>
          <w:trHeight w:val="539" w:hRule="atLeast"/>
        </w:trPr>
        <w:tc>
          <w:tcPr>
            <w:tcW w:w="1046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部门预算项目支出绩效自评表（2025年度）</w:t>
            </w:r>
          </w:p>
        </w:tc>
      </w:tr>
      <w:tr>
        <w:tblPrEx>
          <w:tblCellMar>
            <w:top w:w="0" w:type="dxa"/>
            <w:left w:w="108" w:type="dxa"/>
            <w:bottom w:w="0" w:type="dxa"/>
            <w:right w:w="108" w:type="dxa"/>
          </w:tblCellMar>
        </w:tblPrEx>
        <w:trPr>
          <w:trHeight w:val="285"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561"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51112922T000005590220-国有企业退休人员社会化管理补助</w:t>
            </w:r>
          </w:p>
        </w:tc>
      </w:tr>
      <w:tr>
        <w:tblPrEx>
          <w:tblCellMar>
            <w:top w:w="0" w:type="dxa"/>
            <w:left w:w="108" w:type="dxa"/>
            <w:bottom w:w="0" w:type="dxa"/>
            <w:right w:w="108" w:type="dxa"/>
          </w:tblCellMar>
        </w:tblPrEx>
        <w:trPr>
          <w:trHeight w:val="426" w:hRule="atLeast"/>
        </w:trPr>
        <w:tc>
          <w:tcPr>
            <w:tcW w:w="1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主管部门</w:t>
            </w:r>
          </w:p>
        </w:tc>
        <w:tc>
          <w:tcPr>
            <w:tcW w:w="5301"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档案馆部门</w:t>
            </w:r>
          </w:p>
        </w:tc>
        <w:tc>
          <w:tcPr>
            <w:tcW w:w="993" w:type="dxa"/>
            <w:gridSpan w:val="2"/>
            <w:tcBorders>
              <w:top w:val="nil"/>
              <w:left w:val="nil"/>
              <w:bottom w:val="nil"/>
              <w:right w:val="nil"/>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 xml:space="preserve">实施单位 </w:t>
            </w:r>
          </w:p>
        </w:tc>
        <w:tc>
          <w:tcPr>
            <w:tcW w:w="22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沐川县档案馆</w:t>
            </w:r>
          </w:p>
        </w:tc>
      </w:tr>
      <w:tr>
        <w:tblPrEx>
          <w:tblCellMar>
            <w:top w:w="0" w:type="dxa"/>
            <w:left w:w="108" w:type="dxa"/>
            <w:bottom w:w="0" w:type="dxa"/>
            <w:right w:w="108" w:type="dxa"/>
          </w:tblCellMar>
        </w:tblPrEx>
        <w:trPr>
          <w:trHeight w:val="285" w:hRule="atLeast"/>
        </w:trPr>
        <w:tc>
          <w:tcPr>
            <w:tcW w:w="69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项目基本情况</w:t>
            </w:r>
          </w:p>
        </w:tc>
        <w:tc>
          <w:tcPr>
            <w:tcW w:w="1202"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1.项目年度目标完成情况</w:t>
            </w:r>
          </w:p>
        </w:tc>
        <w:tc>
          <w:tcPr>
            <w:tcW w:w="5301"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项目年度目标</w:t>
            </w:r>
          </w:p>
        </w:tc>
        <w:tc>
          <w:tcPr>
            <w:tcW w:w="3260"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cs="Courier New"/>
                <w:color w:val="000000"/>
                <w:kern w:val="0"/>
                <w:sz w:val="18"/>
                <w:szCs w:val="18"/>
              </w:rPr>
            </w:pPr>
            <w:r>
              <w:rPr>
                <w:rFonts w:ascii="Courier New" w:hAnsi="Courier New"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5301"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全面提升国有企业退休人员档案规范化管理水平</w:t>
            </w:r>
          </w:p>
        </w:tc>
        <w:tc>
          <w:tcPr>
            <w:tcW w:w="3260"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全面完成</w:t>
            </w:r>
          </w:p>
        </w:tc>
      </w:tr>
      <w:tr>
        <w:tblPrEx>
          <w:tblCellMar>
            <w:top w:w="0" w:type="dxa"/>
            <w:left w:w="108" w:type="dxa"/>
            <w:bottom w:w="0" w:type="dxa"/>
            <w:right w:w="108" w:type="dxa"/>
          </w:tblCellMar>
        </w:tblPrEx>
        <w:trPr>
          <w:trHeight w:val="694"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2.项目实施内容及过程概述</w:t>
            </w:r>
          </w:p>
        </w:tc>
        <w:tc>
          <w:tcPr>
            <w:tcW w:w="8561"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配备多功能打印机及查档计算机安全套件，优化查档服务设施；购置库房温湿度监控系统、档案密集架配套设备，改善档案储存条件；补充库房使用手套、口罩等物品及电脑耗材等运维物资，确保档案管理与信息化工作正常运转。</w:t>
            </w:r>
          </w:p>
        </w:tc>
      </w:tr>
      <w:tr>
        <w:tblPrEx>
          <w:tblCellMar>
            <w:top w:w="0" w:type="dxa"/>
            <w:left w:w="108" w:type="dxa"/>
            <w:bottom w:w="0" w:type="dxa"/>
            <w:right w:w="108" w:type="dxa"/>
          </w:tblCellMar>
        </w:tblPrEx>
        <w:trPr>
          <w:trHeight w:val="705" w:hRule="atLeast"/>
        </w:trPr>
        <w:tc>
          <w:tcPr>
            <w:tcW w:w="69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预算执行情况（10分）</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年度预算数（万元）</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年初预算</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调整后预算数</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预算执行数</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预算执行率</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原因</w:t>
            </w:r>
          </w:p>
        </w:tc>
      </w:tr>
      <w:tr>
        <w:tblPrEx>
          <w:tblCellMar>
            <w:top w:w="0" w:type="dxa"/>
            <w:left w:w="108" w:type="dxa"/>
            <w:bottom w:w="0" w:type="dxa"/>
            <w:right w:w="108" w:type="dxa"/>
          </w:tblCellMar>
        </w:tblPrEx>
        <w:trPr>
          <w:trHeight w:val="345"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总额</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6.00</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5.99</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99.96%</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30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hint="default" w:ascii="Courier New" w:hAnsi="Courier New" w:eastAsia="宋体" w:cs="Courier New"/>
                <w:i/>
                <w:iCs/>
                <w:color w:val="000000"/>
                <w:kern w:val="0"/>
                <w:sz w:val="18"/>
                <w:szCs w:val="18"/>
                <w:lang w:val="en-US" w:eastAsia="zh-CN"/>
              </w:rPr>
            </w:pPr>
            <w:r>
              <w:rPr>
                <w:rFonts w:hint="eastAsia" w:ascii="Courier New" w:hAnsi="Courier New" w:cs="Courier New"/>
                <w:i/>
                <w:iCs/>
                <w:color w:val="000000"/>
                <w:kern w:val="0"/>
                <w:sz w:val="18"/>
                <w:szCs w:val="18"/>
                <w:lang w:val="en-US" w:eastAsia="zh-CN"/>
              </w:rPr>
              <w:t>为做好国有企业退休人员档案集中保存和保管保护，预算进行了</w:t>
            </w:r>
            <w:bookmarkStart w:id="140" w:name="_GoBack"/>
            <w:bookmarkEnd w:id="140"/>
            <w:r>
              <w:rPr>
                <w:rFonts w:hint="eastAsia" w:ascii="Courier New" w:hAnsi="Courier New" w:cs="Courier New"/>
                <w:i/>
                <w:iCs/>
                <w:color w:val="000000"/>
                <w:kern w:val="0"/>
                <w:sz w:val="18"/>
                <w:szCs w:val="18"/>
                <w:lang w:val="en-US" w:eastAsia="zh-CN"/>
              </w:rPr>
              <w:t>调整</w:t>
            </w:r>
          </w:p>
        </w:tc>
      </w:tr>
      <w:tr>
        <w:tblPrEx>
          <w:tblCellMar>
            <w:top w:w="0" w:type="dxa"/>
            <w:left w:w="108" w:type="dxa"/>
            <w:bottom w:w="0" w:type="dxa"/>
            <w:right w:w="108" w:type="dxa"/>
          </w:tblCellMar>
        </w:tblPrEx>
        <w:trPr>
          <w:trHeight w:val="390"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其中：财政资金</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6.00</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6.00</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99.96%</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308"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09"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财政专户管理资金</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308"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60"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单位资金</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0.00%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308"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338"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其他资金</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247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308"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cs="Courier New"/>
                <w:i/>
                <w:iCs/>
                <w:color w:val="000000"/>
                <w:kern w:val="0"/>
                <w:sz w:val="18"/>
                <w:szCs w:val="18"/>
              </w:rPr>
            </w:pPr>
          </w:p>
        </w:tc>
      </w:tr>
      <w:tr>
        <w:tblPrEx>
          <w:tblCellMar>
            <w:top w:w="0" w:type="dxa"/>
            <w:left w:w="108" w:type="dxa"/>
            <w:bottom w:w="0" w:type="dxa"/>
            <w:right w:w="108" w:type="dxa"/>
          </w:tblCellMar>
        </w:tblPrEx>
        <w:trPr>
          <w:trHeight w:val="454" w:hRule="atLeast"/>
        </w:trPr>
        <w:tc>
          <w:tcPr>
            <w:tcW w:w="69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绩效指标（90分）</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一级指标</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二级指标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三级指标</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指标性质</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指标值</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度量单位</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完成值</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权重</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得分</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trPr>
        <w:tc>
          <w:tcPr>
            <w:tcW w:w="69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时效指标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项目完成及时性</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2025年12月31日</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日期</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20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项目资金控制在预算内</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优良中低差</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495"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202"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社会效益指标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退休人员档案存储条件改善程度</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优良中低差</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20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18"/>
                <w:szCs w:val="18"/>
              </w:rPr>
            </w:pP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可持续影响指标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档案安全管理水平提升</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定性</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优良中低差</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100%</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338"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满意度指标</w:t>
            </w:r>
          </w:p>
        </w:tc>
        <w:tc>
          <w:tcPr>
            <w:tcW w:w="12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服务对象满意度指标</w:t>
            </w:r>
          </w:p>
        </w:tc>
        <w:tc>
          <w:tcPr>
            <w:tcW w:w="16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查档服务满意度</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4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51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857"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30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　</w:t>
            </w:r>
          </w:p>
        </w:tc>
      </w:tr>
      <w:tr>
        <w:tblPrEx>
          <w:tblCellMar>
            <w:top w:w="0" w:type="dxa"/>
            <w:left w:w="108" w:type="dxa"/>
            <w:bottom w:w="0" w:type="dxa"/>
            <w:right w:w="108" w:type="dxa"/>
          </w:tblCellMar>
        </w:tblPrEx>
        <w:trPr>
          <w:trHeight w:val="285" w:hRule="atLeast"/>
        </w:trPr>
        <w:tc>
          <w:tcPr>
            <w:tcW w:w="805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519" w:type="dxa"/>
            <w:gridSpan w:val="2"/>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576"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cs="宋体"/>
                <w:color w:val="000000"/>
                <w:kern w:val="0"/>
                <w:sz w:val="18"/>
                <w:szCs w:val="18"/>
              </w:rPr>
            </w:pPr>
            <w:r>
              <w:rPr>
                <w:rFonts w:hint="eastAsia" w:ascii="宋体" w:hAnsi="宋体" w:cs="宋体"/>
                <w:color w:val="000000"/>
                <w:kern w:val="0"/>
                <w:sz w:val="18"/>
                <w:szCs w:val="18"/>
              </w:rPr>
              <w:t>100</w:t>
            </w:r>
          </w:p>
        </w:tc>
        <w:tc>
          <w:tcPr>
            <w:tcW w:w="1308"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r>
      <w:tr>
        <w:tblPrEx>
          <w:tblCellMar>
            <w:top w:w="0" w:type="dxa"/>
            <w:left w:w="108" w:type="dxa"/>
            <w:bottom w:w="0" w:type="dxa"/>
            <w:right w:w="108" w:type="dxa"/>
          </w:tblCellMar>
        </w:tblPrEx>
        <w:trPr>
          <w:trHeight w:val="1065"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评价结论</w:t>
            </w:r>
          </w:p>
        </w:tc>
        <w:tc>
          <w:tcPr>
            <w:tcW w:w="9763" w:type="dxa"/>
            <w:gridSpan w:val="11"/>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2025年度国有企业退休人员社会化管理补助项目自评总分100分（预算执行率得分10分，绩效指标得分90分）。项目资金6万元，实际执行5.9978万元，执行率99.96%。完成情况：配备多功能打印机及查档计算机安全套件，优化查档服务设施；购置库房温湿度监控系统、档案密集架及配套设备，改善退休人员档案存储条件；补充库房用品及电脑耗材等运维物资。项目有效提升了国有企业退休人员档案规范化管理水平与服务能力，年度目标全面完成。</w:t>
            </w:r>
          </w:p>
        </w:tc>
      </w:tr>
      <w:tr>
        <w:tblPrEx>
          <w:tblCellMar>
            <w:top w:w="0" w:type="dxa"/>
            <w:left w:w="108" w:type="dxa"/>
            <w:bottom w:w="0" w:type="dxa"/>
            <w:right w:w="108" w:type="dxa"/>
          </w:tblCellMar>
        </w:tblPrEx>
        <w:trPr>
          <w:trHeight w:val="574"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存在问题</w:t>
            </w:r>
          </w:p>
        </w:tc>
        <w:tc>
          <w:tcPr>
            <w:tcW w:w="9763" w:type="dxa"/>
            <w:gridSpan w:val="11"/>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无</w:t>
            </w:r>
          </w:p>
        </w:tc>
      </w:tr>
      <w:tr>
        <w:tblPrEx>
          <w:tblCellMar>
            <w:top w:w="0" w:type="dxa"/>
            <w:left w:w="108" w:type="dxa"/>
            <w:bottom w:w="0" w:type="dxa"/>
            <w:right w:w="108" w:type="dxa"/>
          </w:tblCellMar>
        </w:tblPrEx>
        <w:trPr>
          <w:trHeight w:val="634" w:hRule="atLeast"/>
        </w:trPr>
        <w:tc>
          <w:tcPr>
            <w:tcW w:w="69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改进措施</w:t>
            </w:r>
          </w:p>
        </w:tc>
        <w:tc>
          <w:tcPr>
            <w:tcW w:w="9763" w:type="dxa"/>
            <w:gridSpan w:val="11"/>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i/>
                <w:iCs/>
                <w:color w:val="000000"/>
                <w:kern w:val="0"/>
                <w:sz w:val="16"/>
                <w:szCs w:val="16"/>
              </w:rPr>
            </w:pPr>
            <w:r>
              <w:rPr>
                <w:rFonts w:hint="eastAsia" w:ascii="微软雅黑" w:hAnsi="微软雅黑" w:eastAsia="微软雅黑" w:cs="宋体"/>
                <w:i/>
                <w:iCs/>
                <w:color w:val="000000"/>
                <w:kern w:val="0"/>
                <w:sz w:val="16"/>
                <w:szCs w:val="16"/>
              </w:rPr>
              <w:t>无</w:t>
            </w:r>
          </w:p>
        </w:tc>
      </w:tr>
      <w:tr>
        <w:tblPrEx>
          <w:tblCellMar>
            <w:top w:w="0" w:type="dxa"/>
            <w:left w:w="108" w:type="dxa"/>
            <w:bottom w:w="0" w:type="dxa"/>
            <w:right w:w="108" w:type="dxa"/>
          </w:tblCellMar>
        </w:tblPrEx>
        <w:trPr>
          <w:trHeight w:val="285" w:hRule="atLeast"/>
        </w:trPr>
        <w:tc>
          <w:tcPr>
            <w:tcW w:w="52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项目负责人：</w:t>
            </w:r>
          </w:p>
        </w:tc>
        <w:tc>
          <w:tcPr>
            <w:tcW w:w="5214" w:type="dxa"/>
            <w:gridSpan w:val="7"/>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cs="Courier New"/>
                <w:color w:val="000000"/>
                <w:kern w:val="0"/>
                <w:sz w:val="18"/>
                <w:szCs w:val="18"/>
              </w:rPr>
            </w:pPr>
            <w:r>
              <w:rPr>
                <w:rFonts w:ascii="Courier New" w:hAnsi="Courier New" w:cs="Courier New"/>
                <w:color w:val="000000"/>
                <w:kern w:val="0"/>
                <w:sz w:val="18"/>
                <w:szCs w:val="18"/>
              </w:rPr>
              <w:t>财务负责人：</w:t>
            </w:r>
          </w:p>
        </w:tc>
      </w:tr>
    </w:tbl>
    <w:p>
      <w:pPr>
        <w:pStyle w:val="6"/>
        <w:rPr>
          <w:shd w:val="clear" w:color="auto" w:fill="FFFFFF"/>
          <w:lang w:val="zh-CN"/>
        </w:rPr>
      </w:pPr>
    </w:p>
    <w:p>
      <w:pPr>
        <w:rPr>
          <w:rFonts w:asciiTheme="majorHAnsi" w:hAnsiTheme="majorHAnsi" w:eastAsiaTheme="majorEastAsia" w:cstheme="majorBidi"/>
          <w:sz w:val="32"/>
          <w:szCs w:val="32"/>
          <w:shd w:val="clear" w:color="auto" w:fill="FFFFFF"/>
          <w:lang w:val="zh-CN"/>
        </w:rPr>
      </w:pPr>
      <w:r>
        <w:rPr>
          <w:shd w:val="clear" w:color="auto" w:fill="FFFFFF"/>
          <w:lang w:val="zh-CN"/>
        </w:rPr>
        <w:br w:type="page"/>
      </w:r>
    </w:p>
    <w:p>
      <w:pPr>
        <w:pStyle w:val="6"/>
      </w:pPr>
      <w:r>
        <w:rPr>
          <w:rFonts w:hint="eastAsia"/>
          <w:shd w:val="clear" w:color="auto" w:fill="FFFFFF"/>
          <w:lang w:val="zh-CN"/>
        </w:rPr>
        <w:t>附件</w:t>
      </w:r>
      <w:r>
        <w:rPr>
          <w:rFonts w:hint="eastAsia"/>
          <w:shd w:val="clear" w:color="auto" w:fill="FFFFFF"/>
        </w:rPr>
        <w:t>2</w:t>
      </w:r>
      <w:bookmarkEnd w:id="124"/>
    </w:p>
    <w:p>
      <w:pPr>
        <w:pStyle w:val="34"/>
        <w:spacing w:line="578" w:lineRule="exact"/>
        <w:jc w:val="center"/>
        <w:rPr>
          <w:rFonts w:ascii="Times New Roman" w:hAnsi="Times New Roman" w:eastAsia="方正小标宋简体" w:cs="方正小标宋简体"/>
          <w:color w:val="auto"/>
          <w:kern w:val="2"/>
          <w:sz w:val="44"/>
          <w:szCs w:val="44"/>
          <w:lang w:val="en-US"/>
        </w:rPr>
      </w:pPr>
    </w:p>
    <w:p>
      <w:pPr>
        <w:pStyle w:val="34"/>
        <w:spacing w:line="578" w:lineRule="exact"/>
        <w:jc w:val="center"/>
        <w:rPr>
          <w:rFonts w:ascii="Times New Roman" w:hAnsi="Times New Roman" w:eastAsia="方正小标宋简体" w:cs="方正小标宋简体"/>
          <w:color w:val="auto"/>
          <w:kern w:val="2"/>
          <w:sz w:val="44"/>
          <w:szCs w:val="44"/>
          <w:lang w:val="en-US"/>
        </w:rPr>
      </w:pPr>
      <w:r>
        <w:rPr>
          <w:rFonts w:hint="eastAsia" w:ascii="Times New Roman" w:hAnsi="Times New Roman" w:eastAsia="方正小标宋简体" w:cs="方正小标宋简体"/>
          <w:color w:val="auto"/>
          <w:kern w:val="2"/>
          <w:sz w:val="44"/>
          <w:szCs w:val="44"/>
          <w:lang w:val="en-US"/>
        </w:rPr>
        <w:t>沐川县档案馆</w:t>
      </w:r>
    </w:p>
    <w:p>
      <w:pPr>
        <w:pStyle w:val="34"/>
        <w:spacing w:line="578" w:lineRule="exact"/>
        <w:jc w:val="center"/>
        <w:rPr>
          <w:rFonts w:ascii="Times New Roman" w:hAnsi="Times New Roman" w:eastAsia="方正小标宋简体" w:cs="方正小标宋简体"/>
          <w:color w:val="auto"/>
          <w:kern w:val="2"/>
          <w:sz w:val="44"/>
          <w:szCs w:val="44"/>
          <w:lang w:val="en-US"/>
        </w:rPr>
      </w:pPr>
      <w:r>
        <w:rPr>
          <w:rFonts w:hint="eastAsia" w:ascii="Times New Roman" w:hAnsi="Times New Roman" w:eastAsia="方正小标宋简体" w:cs="方正小标宋简体"/>
          <w:color w:val="auto"/>
          <w:kern w:val="2"/>
          <w:sz w:val="44"/>
          <w:szCs w:val="44"/>
          <w:lang w:val="en-US"/>
        </w:rPr>
        <w:t>2025年专项资金绩效自评报告</w:t>
      </w:r>
    </w:p>
    <w:p>
      <w:pPr>
        <w:pStyle w:val="34"/>
        <w:spacing w:line="578" w:lineRule="exact"/>
        <w:ind w:firstLine="640"/>
        <w:jc w:val="center"/>
        <w:rPr>
          <w:rFonts w:ascii="Times New Roman" w:hAnsi="Times New Roman"/>
          <w:color w:val="auto"/>
          <w:kern w:val="2"/>
          <w:sz w:val="32"/>
          <w:szCs w:val="32"/>
        </w:rPr>
      </w:pPr>
    </w:p>
    <w:p>
      <w:pPr>
        <w:snapToGrid w:val="0"/>
        <w:spacing w:line="600" w:lineRule="exact"/>
        <w:ind w:firstLine="640" w:firstLineChars="200"/>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为进一步管理和使用好财政资金，提高专项资金使用效益和项目管理水平，</w:t>
      </w:r>
      <w:r>
        <w:rPr>
          <w:rFonts w:hAnsi="仿宋_GB2312" w:eastAsia="仿宋_GB2312"/>
          <w:kern w:val="0"/>
          <w:sz w:val="32"/>
          <w:shd w:val="clear" w:color="auto" w:fill="FFFFFF"/>
        </w:rPr>
        <w:t>根据县财政局《关于开展</w:t>
      </w:r>
      <w:r>
        <w:rPr>
          <w:rFonts w:eastAsia="仿宋_GB2312"/>
          <w:kern w:val="0"/>
          <w:sz w:val="32"/>
          <w:shd w:val="clear" w:color="auto" w:fill="FFFFFF"/>
        </w:rPr>
        <w:t>2025</w:t>
      </w:r>
      <w:r>
        <w:rPr>
          <w:rFonts w:hAnsi="仿宋_GB2312" w:eastAsia="仿宋_GB2312"/>
          <w:kern w:val="0"/>
          <w:sz w:val="32"/>
          <w:shd w:val="clear" w:color="auto" w:fill="FFFFFF"/>
        </w:rPr>
        <w:t>年度县级部门预算绩效自评工作的通知》（沐财发〔</w:t>
      </w:r>
      <w:r>
        <w:rPr>
          <w:rFonts w:eastAsia="仿宋_GB2312"/>
          <w:kern w:val="0"/>
          <w:sz w:val="32"/>
          <w:shd w:val="clear" w:color="auto" w:fill="FFFFFF"/>
        </w:rPr>
        <w:t>202</w:t>
      </w:r>
      <w:r>
        <w:rPr>
          <w:rFonts w:hint="eastAsia" w:eastAsia="仿宋_GB2312"/>
          <w:kern w:val="0"/>
          <w:sz w:val="32"/>
          <w:shd w:val="clear" w:color="auto" w:fill="FFFFFF"/>
        </w:rPr>
        <w:t>6</w:t>
      </w:r>
      <w:r>
        <w:rPr>
          <w:rFonts w:hAnsi="仿宋_GB2312" w:eastAsia="仿宋_GB2312"/>
          <w:kern w:val="0"/>
          <w:sz w:val="32"/>
          <w:shd w:val="clear" w:color="auto" w:fill="FFFFFF"/>
        </w:rPr>
        <w:t>〕</w:t>
      </w:r>
      <w:r>
        <w:rPr>
          <w:rFonts w:eastAsia="仿宋_GB2312"/>
          <w:kern w:val="0"/>
          <w:sz w:val="32"/>
          <w:shd w:val="clear" w:color="auto" w:fill="FFFFFF"/>
        </w:rPr>
        <w:t>76</w:t>
      </w:r>
      <w:r>
        <w:rPr>
          <w:rFonts w:hAnsi="仿宋_GB2312" w:eastAsia="仿宋_GB2312"/>
          <w:kern w:val="0"/>
          <w:sz w:val="32"/>
          <w:shd w:val="clear" w:color="auto" w:fill="FFFFFF"/>
        </w:rPr>
        <w:t>号）的部署，认真组织进行了</w:t>
      </w:r>
      <w:r>
        <w:rPr>
          <w:rFonts w:eastAsia="仿宋_GB2312"/>
          <w:kern w:val="0"/>
          <w:sz w:val="32"/>
          <w:shd w:val="clear" w:color="auto" w:fill="FFFFFF"/>
        </w:rPr>
        <w:t>2025</w:t>
      </w:r>
      <w:r>
        <w:rPr>
          <w:rFonts w:hAnsi="仿宋_GB2312" w:eastAsia="仿宋_GB2312"/>
          <w:kern w:val="0"/>
          <w:sz w:val="32"/>
          <w:shd w:val="clear" w:color="auto" w:fill="FFFFFF"/>
        </w:rPr>
        <w:t>年度预算绩效自评工作，现将我馆专项资金项目绩效自评结果汇报如</w:t>
      </w:r>
      <w:r>
        <w:rPr>
          <w:rFonts w:hint="eastAsia" w:ascii="仿宋_GB2312" w:hAnsi="仿宋_GB2312" w:eastAsia="仿宋_GB2312" w:cs="仿宋_GB2312"/>
          <w:kern w:val="0"/>
          <w:sz w:val="32"/>
          <w:shd w:val="clear" w:color="auto" w:fill="FFFFFF"/>
        </w:rPr>
        <w:t>下：</w:t>
      </w:r>
    </w:p>
    <w:p>
      <w:pPr>
        <w:adjustRightInd w:val="0"/>
        <w:snapToGrid w:val="0"/>
        <w:spacing w:line="578" w:lineRule="exact"/>
        <w:ind w:firstLine="640" w:firstLineChars="200"/>
        <w:rPr>
          <w:rFonts w:eastAsia="黑体"/>
          <w:sz w:val="32"/>
          <w:szCs w:val="32"/>
          <w:lang w:val="zh-CN"/>
        </w:rPr>
      </w:pPr>
      <w:r>
        <w:rPr>
          <w:rFonts w:hint="eastAsia" w:eastAsia="黑体"/>
          <w:sz w:val="32"/>
          <w:szCs w:val="32"/>
        </w:rPr>
        <w:t>一、</w:t>
      </w:r>
      <w:r>
        <w:rPr>
          <w:rFonts w:hint="eastAsia" w:eastAsia="黑体"/>
          <w:sz w:val="32"/>
          <w:szCs w:val="32"/>
          <w:lang w:val="zh-CN"/>
        </w:rPr>
        <w:t>项目概况</w:t>
      </w:r>
    </w:p>
    <w:p>
      <w:pPr>
        <w:snapToGrid w:val="0"/>
        <w:spacing w:line="600" w:lineRule="exact"/>
        <w:ind w:firstLine="642" w:firstLineChars="200"/>
        <w:rPr>
          <w:rFonts w:eastAsia="楷体_GB2312"/>
          <w:b/>
          <w:sz w:val="32"/>
          <w:szCs w:val="32"/>
          <w:lang w:val="zh-CN"/>
        </w:rPr>
      </w:pPr>
      <w:r>
        <w:rPr>
          <w:rFonts w:hint="eastAsia" w:eastAsia="楷体_GB2312"/>
          <w:b/>
          <w:sz w:val="32"/>
          <w:szCs w:val="32"/>
          <w:lang w:val="zh-CN"/>
        </w:rPr>
        <w:t>（一）设立背景及基本情况</w:t>
      </w:r>
    </w:p>
    <w:p>
      <w:pPr>
        <w:snapToGrid w:val="0"/>
        <w:spacing w:line="600" w:lineRule="exact"/>
        <w:ind w:firstLine="640" w:firstLineChars="200"/>
        <w:rPr>
          <w:rFonts w:eastAsia="仿宋_GB2312"/>
          <w:kern w:val="0"/>
          <w:sz w:val="32"/>
          <w:shd w:val="clear" w:color="auto" w:fill="FFFFFF"/>
        </w:rPr>
      </w:pPr>
      <w:r>
        <w:rPr>
          <w:rFonts w:hint="eastAsia" w:ascii="仿宋_GB2312" w:hAnsi="仿宋_GB2312" w:eastAsia="仿宋_GB2312" w:cs="仿宋_GB2312"/>
          <w:kern w:val="0"/>
          <w:sz w:val="32"/>
          <w:shd w:val="clear" w:color="auto" w:fill="FFFFFF"/>
        </w:rPr>
        <w:t>根据《中华人民共和国</w:t>
      </w:r>
      <w:r>
        <w:rPr>
          <w:rFonts w:hAnsi="仿宋_GB2312" w:eastAsia="仿宋_GB2312"/>
          <w:kern w:val="0"/>
          <w:sz w:val="32"/>
          <w:shd w:val="clear" w:color="auto" w:fill="FFFFFF"/>
        </w:rPr>
        <w:t>档案法》、沐川县人民政府阅办文件收文〔</w:t>
      </w:r>
      <w:r>
        <w:rPr>
          <w:rFonts w:eastAsia="仿宋_GB2312"/>
          <w:kern w:val="0"/>
          <w:sz w:val="32"/>
          <w:shd w:val="clear" w:color="auto" w:fill="FFFFFF"/>
        </w:rPr>
        <w:t>2021</w:t>
      </w:r>
      <w:r>
        <w:rPr>
          <w:rFonts w:hAnsi="仿宋_GB2312" w:eastAsia="仿宋_GB2312"/>
          <w:kern w:val="0"/>
          <w:sz w:val="32"/>
          <w:shd w:val="clear" w:color="auto" w:fill="FFFFFF"/>
        </w:rPr>
        <w:t>〕第</w:t>
      </w:r>
      <w:r>
        <w:rPr>
          <w:rFonts w:eastAsia="仿宋_GB2312"/>
          <w:kern w:val="0"/>
          <w:sz w:val="32"/>
          <w:shd w:val="clear" w:color="auto" w:fill="FFFFFF"/>
        </w:rPr>
        <w:t>1123</w:t>
      </w:r>
      <w:r>
        <w:rPr>
          <w:rFonts w:hAnsi="仿宋_GB2312" w:eastAsia="仿宋_GB2312"/>
          <w:kern w:val="0"/>
          <w:sz w:val="32"/>
          <w:shd w:val="clear" w:color="auto" w:fill="FFFFFF"/>
        </w:rPr>
        <w:t>号批示单、川财资〔</w:t>
      </w:r>
      <w:r>
        <w:rPr>
          <w:rFonts w:eastAsia="仿宋_GB2312"/>
          <w:kern w:val="0"/>
          <w:sz w:val="32"/>
          <w:shd w:val="clear" w:color="auto" w:fill="FFFFFF"/>
        </w:rPr>
        <w:t>2024</w:t>
      </w:r>
      <w:r>
        <w:rPr>
          <w:rFonts w:hAnsi="仿宋_GB2312" w:eastAsia="仿宋_GB2312"/>
          <w:kern w:val="0"/>
          <w:sz w:val="32"/>
          <w:shd w:val="clear" w:color="auto" w:fill="FFFFFF"/>
        </w:rPr>
        <w:t>〕</w:t>
      </w:r>
      <w:r>
        <w:rPr>
          <w:rFonts w:eastAsia="仿宋_GB2312"/>
          <w:kern w:val="0"/>
          <w:sz w:val="32"/>
          <w:shd w:val="clear" w:color="auto" w:fill="FFFFFF"/>
        </w:rPr>
        <w:t>109</w:t>
      </w:r>
      <w:r>
        <w:rPr>
          <w:rFonts w:hint="eastAsia" w:eastAsia="仿宋_GB2312"/>
          <w:kern w:val="0"/>
          <w:sz w:val="32"/>
          <w:shd w:val="clear" w:color="auto" w:fill="FFFFFF"/>
        </w:rPr>
        <w:t>号</w:t>
      </w:r>
      <w:r>
        <w:rPr>
          <w:rFonts w:hAnsi="仿宋_GB2312" w:eastAsia="仿宋_GB2312"/>
          <w:kern w:val="0"/>
          <w:sz w:val="32"/>
          <w:shd w:val="clear" w:color="auto" w:fill="FFFFFF"/>
        </w:rPr>
        <w:t>等文件设立专项资金。</w:t>
      </w:r>
    </w:p>
    <w:p>
      <w:pPr>
        <w:snapToGrid w:val="0"/>
        <w:spacing w:line="600" w:lineRule="exact"/>
        <w:ind w:firstLine="640" w:firstLineChars="200"/>
        <w:rPr>
          <w:rFonts w:eastAsia="仿宋_GB2312"/>
          <w:kern w:val="0"/>
          <w:sz w:val="32"/>
          <w:shd w:val="clear" w:color="auto" w:fill="FFFFFF"/>
        </w:rPr>
      </w:pPr>
      <w:r>
        <w:rPr>
          <w:rFonts w:eastAsia="仿宋_GB2312"/>
          <w:kern w:val="0"/>
          <w:sz w:val="32"/>
          <w:shd w:val="clear" w:color="auto" w:fill="FFFFFF"/>
        </w:rPr>
        <w:t>2025</w:t>
      </w:r>
      <w:r>
        <w:rPr>
          <w:rFonts w:hAnsi="仿宋_GB2312" w:eastAsia="仿宋_GB2312"/>
          <w:kern w:val="0"/>
          <w:sz w:val="32"/>
          <w:shd w:val="clear" w:color="auto" w:fill="FFFFFF"/>
        </w:rPr>
        <w:t>年沐川县档案馆共计</w:t>
      </w:r>
      <w:r>
        <w:rPr>
          <w:rFonts w:eastAsia="仿宋_GB2312"/>
          <w:kern w:val="0"/>
          <w:sz w:val="32"/>
          <w:shd w:val="clear" w:color="auto" w:fill="FFFFFF"/>
        </w:rPr>
        <w:t>2</w:t>
      </w:r>
      <w:r>
        <w:rPr>
          <w:rFonts w:hAnsi="仿宋_GB2312" w:eastAsia="仿宋_GB2312"/>
          <w:kern w:val="0"/>
          <w:sz w:val="32"/>
          <w:shd w:val="clear" w:color="auto" w:fill="FFFFFF"/>
        </w:rPr>
        <w:t>项专项资金，总计</w:t>
      </w:r>
      <w:r>
        <w:rPr>
          <w:rFonts w:eastAsia="仿宋_GB2312"/>
          <w:kern w:val="0"/>
          <w:sz w:val="32"/>
          <w:shd w:val="clear" w:color="auto" w:fill="FFFFFF"/>
        </w:rPr>
        <w:t>14</w:t>
      </w:r>
      <w:r>
        <w:rPr>
          <w:rFonts w:hAnsi="仿宋_GB2312" w:eastAsia="仿宋_GB2312"/>
          <w:kern w:val="0"/>
          <w:sz w:val="32"/>
          <w:shd w:val="clear" w:color="auto" w:fill="FFFFFF"/>
        </w:rPr>
        <w:t>万元，分别为：档案保管保护专项经费</w:t>
      </w:r>
      <w:r>
        <w:rPr>
          <w:rFonts w:eastAsia="仿宋_GB2312"/>
          <w:kern w:val="0"/>
          <w:sz w:val="32"/>
          <w:shd w:val="clear" w:color="auto" w:fill="FFFFFF"/>
        </w:rPr>
        <w:t>8</w:t>
      </w:r>
      <w:r>
        <w:rPr>
          <w:rFonts w:hAnsi="仿宋_GB2312" w:eastAsia="仿宋_GB2312"/>
          <w:kern w:val="0"/>
          <w:sz w:val="32"/>
          <w:shd w:val="clear" w:color="auto" w:fill="FFFFFF"/>
        </w:rPr>
        <w:t>万元、国有企业退休人员社会化管理补助</w:t>
      </w:r>
      <w:r>
        <w:rPr>
          <w:rFonts w:eastAsia="仿宋_GB2312"/>
          <w:kern w:val="0"/>
          <w:sz w:val="32"/>
          <w:shd w:val="clear" w:color="auto" w:fill="FFFFFF"/>
        </w:rPr>
        <w:t>6</w:t>
      </w:r>
      <w:r>
        <w:rPr>
          <w:rFonts w:hAnsi="仿宋_GB2312" w:eastAsia="仿宋_GB2312"/>
          <w:kern w:val="0"/>
          <w:sz w:val="32"/>
          <w:shd w:val="clear" w:color="auto" w:fill="FFFFFF"/>
        </w:rPr>
        <w:t>万元。</w:t>
      </w:r>
    </w:p>
    <w:p>
      <w:pPr>
        <w:spacing w:line="560" w:lineRule="exact"/>
        <w:ind w:firstLine="640"/>
        <w:rPr>
          <w:rFonts w:eastAsia="楷体_GB2312"/>
          <w:b/>
          <w:sz w:val="32"/>
          <w:szCs w:val="32"/>
        </w:rPr>
      </w:pPr>
      <w:r>
        <w:rPr>
          <w:rFonts w:hint="eastAsia" w:eastAsia="楷体_GB2312"/>
          <w:b/>
          <w:sz w:val="32"/>
          <w:szCs w:val="32"/>
          <w:lang w:val="zh-CN"/>
        </w:rPr>
        <w:t>（二）</w:t>
      </w:r>
      <w:r>
        <w:rPr>
          <w:rFonts w:eastAsia="楷体_GB2312"/>
          <w:b/>
          <w:sz w:val="32"/>
          <w:szCs w:val="32"/>
        </w:rPr>
        <w:t>实施目的及支持方向</w:t>
      </w:r>
    </w:p>
    <w:p>
      <w:pPr>
        <w:spacing w:line="560" w:lineRule="exact"/>
        <w:ind w:firstLine="640"/>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专项项目实施是为了全县直机关、人民团体、企事业单位以及其它社会组织档案，社会各界利用档案史料和档案信息资源、信息查阅和利用，围绕档案工作“四个好”“两个服务”要求，履行“为党管档、为国守史、为民服务”职责，做好档案“收、存、管、用”重点工作，有力推动档案事业高质量发展，全面完成全年各项工作任务。</w:t>
      </w:r>
    </w:p>
    <w:p>
      <w:pPr>
        <w:widowControl/>
        <w:adjustRightInd w:val="0"/>
        <w:snapToGrid w:val="0"/>
        <w:spacing w:line="578" w:lineRule="exact"/>
        <w:ind w:firstLine="642" w:firstLineChars="200"/>
        <w:contextualSpacing/>
        <w:jc w:val="left"/>
        <w:rPr>
          <w:rFonts w:eastAsia="楷体_GB2312"/>
          <w:b/>
          <w:sz w:val="32"/>
          <w:szCs w:val="32"/>
          <w:lang w:val="zh-CN"/>
        </w:rPr>
      </w:pPr>
      <w:r>
        <w:rPr>
          <w:rFonts w:hint="eastAsia" w:eastAsia="楷体_GB2312"/>
          <w:b/>
          <w:sz w:val="32"/>
          <w:szCs w:val="32"/>
          <w:lang w:val="zh-CN"/>
        </w:rPr>
        <w:t>（三）</w:t>
      </w:r>
      <w:r>
        <w:rPr>
          <w:rFonts w:eastAsia="楷体_GB2312"/>
          <w:b/>
          <w:sz w:val="32"/>
          <w:szCs w:val="32"/>
        </w:rPr>
        <w:t>预算安排及分配管理</w:t>
      </w:r>
    </w:p>
    <w:p>
      <w:pPr>
        <w:widowControl/>
        <w:adjustRightInd w:val="0"/>
        <w:snapToGrid w:val="0"/>
        <w:spacing w:line="578" w:lineRule="exact"/>
        <w:ind w:firstLine="640" w:firstLineChars="200"/>
        <w:contextualSpacing/>
        <w:jc w:val="left"/>
        <w:rPr>
          <w:rFonts w:eastAsia="仿宋_GB2312"/>
          <w:kern w:val="0"/>
          <w:sz w:val="32"/>
          <w:shd w:val="clear" w:color="auto" w:fill="FFFFFF"/>
        </w:rPr>
      </w:pPr>
      <w:r>
        <w:rPr>
          <w:rFonts w:hint="eastAsia" w:ascii="仿宋_GB2312" w:hAnsi="仿宋_GB2312" w:eastAsia="仿宋_GB2312" w:cs="仿宋_GB2312"/>
          <w:kern w:val="0"/>
          <w:sz w:val="32"/>
          <w:shd w:val="clear" w:color="auto" w:fill="FFFFFF"/>
        </w:rPr>
        <w:t>县档案馆</w:t>
      </w:r>
      <w:r>
        <w:rPr>
          <w:rFonts w:eastAsia="仿宋_GB2312"/>
          <w:kern w:val="0"/>
          <w:sz w:val="32"/>
          <w:shd w:val="clear" w:color="auto" w:fill="FFFFFF"/>
        </w:rPr>
        <w:t>2</w:t>
      </w:r>
      <w:r>
        <w:rPr>
          <w:rFonts w:hAnsi="仿宋_GB2312" w:eastAsia="仿宋_GB2312"/>
          <w:kern w:val="0"/>
          <w:sz w:val="32"/>
          <w:shd w:val="clear" w:color="auto" w:fill="FFFFFF"/>
        </w:rPr>
        <w:t>项专项资金，总计</w:t>
      </w:r>
      <w:r>
        <w:rPr>
          <w:rFonts w:eastAsia="仿宋_GB2312"/>
          <w:kern w:val="0"/>
          <w:sz w:val="32"/>
          <w:shd w:val="clear" w:color="auto" w:fill="FFFFFF"/>
        </w:rPr>
        <w:t>14</w:t>
      </w:r>
      <w:r>
        <w:rPr>
          <w:rFonts w:hAnsi="仿宋_GB2312" w:eastAsia="仿宋_GB2312"/>
          <w:kern w:val="0"/>
          <w:sz w:val="32"/>
          <w:shd w:val="clear" w:color="auto" w:fill="FFFFFF"/>
        </w:rPr>
        <w:t>万元，其中：档案保管保护专项经费，主要用于全县档案接收进馆、馆藏档案的整理、管理、开发利用和保管保护工作的支出，全年预算数</w:t>
      </w:r>
      <w:r>
        <w:rPr>
          <w:rFonts w:eastAsia="仿宋_GB2312"/>
          <w:kern w:val="0"/>
          <w:sz w:val="32"/>
          <w:shd w:val="clear" w:color="auto" w:fill="FFFFFF"/>
        </w:rPr>
        <w:t>8</w:t>
      </w:r>
      <w:r>
        <w:rPr>
          <w:rFonts w:hAnsi="仿宋_GB2312" w:eastAsia="仿宋_GB2312"/>
          <w:kern w:val="0"/>
          <w:sz w:val="32"/>
          <w:shd w:val="clear" w:color="auto" w:fill="FFFFFF"/>
        </w:rPr>
        <w:t>万元，决算数</w:t>
      </w:r>
      <w:r>
        <w:rPr>
          <w:rFonts w:eastAsia="仿宋_GB2312"/>
          <w:kern w:val="0"/>
          <w:sz w:val="32"/>
          <w:shd w:val="clear" w:color="auto" w:fill="FFFFFF"/>
        </w:rPr>
        <w:t>7.49</w:t>
      </w:r>
      <w:r>
        <w:rPr>
          <w:rFonts w:hAnsi="仿宋_GB2312" w:eastAsia="仿宋_GB2312"/>
          <w:kern w:val="0"/>
          <w:sz w:val="32"/>
          <w:shd w:val="clear" w:color="auto" w:fill="FFFFFF"/>
        </w:rPr>
        <w:t>万元，预算完成</w:t>
      </w:r>
      <w:r>
        <w:rPr>
          <w:rFonts w:eastAsia="仿宋_GB2312"/>
          <w:sz w:val="32"/>
          <w:szCs w:val="32"/>
        </w:rPr>
        <w:t>93.63</w:t>
      </w:r>
      <w:r>
        <w:rPr>
          <w:rFonts w:eastAsia="仿宋_GB2312"/>
          <w:kern w:val="0"/>
          <w:sz w:val="32"/>
          <w:shd w:val="clear" w:color="auto" w:fill="FFFFFF"/>
        </w:rPr>
        <w:t>%</w:t>
      </w:r>
      <w:r>
        <w:rPr>
          <w:rFonts w:hAnsi="仿宋_GB2312" w:eastAsia="仿宋_GB2312"/>
          <w:kern w:val="0"/>
          <w:sz w:val="32"/>
          <w:shd w:val="clear" w:color="auto" w:fill="FFFFFF"/>
        </w:rPr>
        <w:t>。国有企业退休人员社会化管理补助项目，主要用于国有企业退休人员管理经费使用，全年预算数</w:t>
      </w:r>
      <w:r>
        <w:rPr>
          <w:rFonts w:eastAsia="仿宋_GB2312"/>
          <w:kern w:val="0"/>
          <w:sz w:val="32"/>
          <w:shd w:val="clear" w:color="auto" w:fill="FFFFFF"/>
        </w:rPr>
        <w:t>6</w:t>
      </w:r>
      <w:r>
        <w:rPr>
          <w:rFonts w:hAnsi="仿宋_GB2312" w:eastAsia="仿宋_GB2312"/>
          <w:kern w:val="0"/>
          <w:sz w:val="32"/>
          <w:shd w:val="clear" w:color="auto" w:fill="FFFFFF"/>
        </w:rPr>
        <w:t>万元，决算数</w:t>
      </w:r>
      <w:r>
        <w:rPr>
          <w:rFonts w:eastAsia="仿宋_GB2312"/>
          <w:kern w:val="0"/>
          <w:sz w:val="32"/>
          <w:shd w:val="clear" w:color="auto" w:fill="FFFFFF"/>
        </w:rPr>
        <w:t>5.99</w:t>
      </w:r>
      <w:r>
        <w:rPr>
          <w:rFonts w:hAnsi="仿宋_GB2312" w:eastAsia="仿宋_GB2312"/>
          <w:kern w:val="0"/>
          <w:sz w:val="32"/>
          <w:shd w:val="clear" w:color="auto" w:fill="FFFFFF"/>
        </w:rPr>
        <w:t>万元，预算完成</w:t>
      </w:r>
      <w:r>
        <w:rPr>
          <w:rFonts w:eastAsia="仿宋_GB2312"/>
          <w:sz w:val="32"/>
          <w:szCs w:val="32"/>
        </w:rPr>
        <w:t>99.</w:t>
      </w:r>
      <w:r>
        <w:rPr>
          <w:rFonts w:hint="eastAsia" w:eastAsia="仿宋_GB2312"/>
          <w:sz w:val="32"/>
          <w:szCs w:val="32"/>
        </w:rPr>
        <w:t>83</w:t>
      </w:r>
      <w:r>
        <w:rPr>
          <w:rFonts w:eastAsia="仿宋_GB2312"/>
          <w:sz w:val="32"/>
          <w:szCs w:val="32"/>
        </w:rPr>
        <w:t>%</w:t>
      </w:r>
      <w:r>
        <w:rPr>
          <w:rFonts w:hAnsi="仿宋_GB2312" w:eastAsia="仿宋_GB2312"/>
          <w:kern w:val="0"/>
          <w:sz w:val="32"/>
          <w:shd w:val="clear" w:color="auto" w:fill="FFFFFF"/>
        </w:rPr>
        <w:t>。项目编制合理，有利于档案工作的正常开展。严格遵守各项财经管理规定，严格按照规范实施，无违规行为。</w:t>
      </w:r>
    </w:p>
    <w:p>
      <w:pPr>
        <w:widowControl/>
        <w:adjustRightInd w:val="0"/>
        <w:snapToGrid w:val="0"/>
        <w:spacing w:line="578" w:lineRule="exact"/>
        <w:ind w:firstLine="642" w:firstLineChars="200"/>
        <w:contextualSpacing/>
        <w:jc w:val="left"/>
        <w:rPr>
          <w:rFonts w:eastAsia="楷体_GB2312"/>
          <w:b/>
          <w:sz w:val="32"/>
          <w:szCs w:val="32"/>
          <w:lang w:val="zh-CN"/>
        </w:rPr>
      </w:pPr>
      <w:r>
        <w:rPr>
          <w:rFonts w:hint="eastAsia" w:eastAsia="楷体_GB2312"/>
          <w:b/>
          <w:sz w:val="32"/>
          <w:szCs w:val="32"/>
          <w:lang w:val="zh-CN"/>
        </w:rPr>
        <w:t>（四）项目绩效目标设置</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1.总体目标</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不断提升机关企事业单位及查档群众对档案馆工作的认可度、满意度，努力为全县经济社会发展和社会民生服好务。</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2.专项资金目标</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档案保管保护专项经费：用于处理馆藏档案发生的霉变、虫蛀、破损，改善档案保护条件以及指导全县部门和乡镇的档案信息化工作，保证档案资源的开发利用。开展存量档案数字化及数字化档案信息化建设，对馆藏到期档案进行鉴定、整理和销毁等。</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国有企业退休人员社会化管理补助项目：做好国企退休人员档案接收进馆工作，改善档案保管保护条件，全面提升国有企业退休人员档案规范化管理水平。</w:t>
      </w:r>
    </w:p>
    <w:p>
      <w:pPr>
        <w:adjustRightInd w:val="0"/>
        <w:snapToGrid w:val="0"/>
        <w:spacing w:line="578" w:lineRule="exact"/>
        <w:ind w:firstLine="640" w:firstLineChars="200"/>
        <w:rPr>
          <w:rFonts w:eastAsia="黑体"/>
          <w:sz w:val="32"/>
          <w:szCs w:val="32"/>
        </w:rPr>
      </w:pPr>
      <w:r>
        <w:rPr>
          <w:rFonts w:hint="eastAsia" w:eastAsia="黑体"/>
          <w:sz w:val="32"/>
          <w:szCs w:val="32"/>
        </w:rPr>
        <w:t>二、评价实施</w:t>
      </w:r>
    </w:p>
    <w:p>
      <w:pPr>
        <w:spacing w:line="578" w:lineRule="exact"/>
        <w:ind w:firstLine="640"/>
        <w:rPr>
          <w:rFonts w:eastAsia="楷体_GB2312"/>
          <w:b/>
          <w:sz w:val="32"/>
          <w:szCs w:val="32"/>
          <w:lang w:val="zh-CN"/>
        </w:rPr>
      </w:pPr>
      <w:r>
        <w:rPr>
          <w:rFonts w:hint="eastAsia" w:eastAsia="楷体_GB2312"/>
          <w:b/>
          <w:sz w:val="32"/>
          <w:szCs w:val="32"/>
          <w:lang w:val="zh-CN"/>
        </w:rPr>
        <w:t>（一）评价目的</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通过开展本次专项预算项目绩效自评，强化专项预算资金的管理，提高资金使用的规范性、安全性和有效性。</w:t>
      </w:r>
    </w:p>
    <w:p>
      <w:pPr>
        <w:adjustRightInd w:val="0"/>
        <w:snapToGrid w:val="0"/>
        <w:spacing w:line="578" w:lineRule="exact"/>
        <w:ind w:firstLine="642" w:firstLineChars="200"/>
        <w:rPr>
          <w:rFonts w:eastAsia="楷体_GB2312"/>
          <w:b/>
          <w:sz w:val="32"/>
          <w:szCs w:val="32"/>
          <w:lang w:val="zh-CN"/>
        </w:rPr>
      </w:pPr>
      <w:r>
        <w:rPr>
          <w:rFonts w:hint="eastAsia" w:eastAsia="楷体_GB2312"/>
          <w:b/>
          <w:sz w:val="32"/>
          <w:szCs w:val="32"/>
          <w:lang w:val="zh-CN"/>
        </w:rPr>
        <w:t>（二）预设问题及评价重点</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根据专项资金特点，本次绩效评价重点包括：根据专项资金特点，本次绩效评价重点包括：1．通用指标。包括项目决策、项目管理、项目实施和项目结果。2．专用指标。包括行政运转。3．个性指标。包括维护档案保管保护设备效果、档案查阅利用效果、群众满意度。</w:t>
      </w:r>
    </w:p>
    <w:p>
      <w:pPr>
        <w:adjustRightInd w:val="0"/>
        <w:snapToGrid w:val="0"/>
        <w:spacing w:line="578" w:lineRule="exact"/>
        <w:ind w:firstLine="642" w:firstLineChars="200"/>
        <w:rPr>
          <w:rFonts w:eastAsia="楷体_GB2312"/>
          <w:b/>
          <w:sz w:val="32"/>
          <w:szCs w:val="32"/>
          <w:lang w:val="zh-CN"/>
        </w:rPr>
      </w:pPr>
      <w:r>
        <w:rPr>
          <w:rFonts w:hint="eastAsia" w:eastAsia="楷体_GB2312"/>
          <w:b/>
          <w:sz w:val="32"/>
          <w:szCs w:val="32"/>
          <w:lang w:val="zh-CN"/>
        </w:rPr>
        <w:t>（三）评价选点</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按照要求，选取本单位作为自评点位开展本次专项预算项目绩效自评工作。</w:t>
      </w:r>
    </w:p>
    <w:p>
      <w:pPr>
        <w:spacing w:line="578" w:lineRule="exact"/>
        <w:ind w:firstLine="640"/>
        <w:rPr>
          <w:rFonts w:eastAsia="楷体_GB2312"/>
          <w:b/>
          <w:sz w:val="32"/>
          <w:szCs w:val="32"/>
          <w:lang w:val="zh-CN"/>
        </w:rPr>
      </w:pPr>
      <w:r>
        <w:rPr>
          <w:rFonts w:hint="eastAsia" w:eastAsia="楷体_GB2312"/>
          <w:b/>
          <w:sz w:val="32"/>
          <w:szCs w:val="32"/>
          <w:lang w:val="zh-CN"/>
        </w:rPr>
        <w:t>（四）评价方法</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采用单位自评法开展</w:t>
      </w:r>
      <w:r>
        <w:rPr>
          <w:rFonts w:eastAsia="仿宋_GB2312"/>
          <w:kern w:val="0"/>
          <w:sz w:val="32"/>
          <w:shd w:val="clear" w:color="auto" w:fill="FFFFFF"/>
        </w:rPr>
        <w:t>2025</w:t>
      </w:r>
      <w:r>
        <w:rPr>
          <w:rFonts w:hint="eastAsia" w:ascii="仿宋_GB2312" w:hAnsi="仿宋_GB2312" w:eastAsia="仿宋_GB2312" w:cs="仿宋_GB2312"/>
          <w:kern w:val="0"/>
          <w:sz w:val="32"/>
          <w:shd w:val="clear" w:color="auto" w:fill="FFFFFF"/>
        </w:rPr>
        <w:t>年度专项资金项目绩效自评。</w:t>
      </w:r>
    </w:p>
    <w:p>
      <w:pPr>
        <w:spacing w:line="578" w:lineRule="exact"/>
        <w:ind w:firstLine="640"/>
        <w:rPr>
          <w:rFonts w:eastAsia="楷体_GB2312"/>
          <w:b/>
          <w:sz w:val="32"/>
          <w:szCs w:val="32"/>
          <w:lang w:val="zh-CN"/>
        </w:rPr>
      </w:pPr>
      <w:r>
        <w:rPr>
          <w:rFonts w:hint="eastAsia" w:eastAsia="楷体_GB2312"/>
          <w:b/>
          <w:sz w:val="32"/>
          <w:szCs w:val="32"/>
          <w:lang w:val="zh-CN"/>
        </w:rPr>
        <w:t>（五）评价组织</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hd w:val="clear" w:color="auto" w:fill="FFFFFF"/>
        </w:rPr>
      </w:pPr>
      <w:r>
        <w:rPr>
          <w:rFonts w:hint="eastAsia" w:ascii="仿宋_GB2312" w:hAnsi="仿宋_GB2312" w:eastAsia="仿宋_GB2312" w:cs="仿宋_GB2312"/>
          <w:kern w:val="0"/>
          <w:sz w:val="32"/>
          <w:shd w:val="clear" w:color="auto" w:fill="FFFFFF"/>
        </w:rPr>
        <w:t>本次评价由县档案馆分管财务领导负责，落实专人实施。</w:t>
      </w:r>
    </w:p>
    <w:p>
      <w:pPr>
        <w:adjustRightInd w:val="0"/>
        <w:snapToGrid w:val="0"/>
        <w:spacing w:line="578" w:lineRule="exact"/>
        <w:ind w:firstLine="640" w:firstLineChars="200"/>
        <w:rPr>
          <w:sz w:val="32"/>
          <w:szCs w:val="32"/>
          <w:lang w:val="zh-CN"/>
        </w:rPr>
      </w:pPr>
      <w:r>
        <w:rPr>
          <w:rFonts w:hint="eastAsia" w:eastAsia="黑体"/>
          <w:sz w:val="32"/>
          <w:szCs w:val="32"/>
        </w:rPr>
        <w:t>三、绩效分析</w:t>
      </w:r>
    </w:p>
    <w:p>
      <w:pPr>
        <w:spacing w:line="578" w:lineRule="exact"/>
        <w:ind w:firstLine="640"/>
        <w:rPr>
          <w:rFonts w:eastAsia="仿宋_GB2312" w:cs="仿宋_GB2312"/>
          <w:kern w:val="0"/>
          <w:sz w:val="32"/>
          <w:szCs w:val="32"/>
        </w:rPr>
      </w:pPr>
      <w:r>
        <w:rPr>
          <w:rFonts w:eastAsia="仿宋_GB2312" w:cs="仿宋_GB2312"/>
          <w:kern w:val="0"/>
          <w:sz w:val="32"/>
          <w:szCs w:val="32"/>
          <w:lang w:val="zh-CN"/>
        </w:rPr>
        <w:t>根据</w:t>
      </w:r>
      <w:r>
        <w:rPr>
          <w:rFonts w:hint="eastAsia" w:eastAsia="仿宋_GB2312" w:cs="仿宋_GB2312"/>
          <w:kern w:val="0"/>
          <w:sz w:val="32"/>
          <w:szCs w:val="32"/>
          <w:lang w:val="zh-CN"/>
        </w:rPr>
        <w:t>项目</w:t>
      </w:r>
      <w:r>
        <w:rPr>
          <w:rFonts w:eastAsia="仿宋_GB2312" w:cs="仿宋_GB2312"/>
          <w:kern w:val="0"/>
          <w:sz w:val="32"/>
          <w:szCs w:val="32"/>
          <w:lang w:val="zh-CN"/>
        </w:rPr>
        <w:t>预算绩效评价指标体系</w:t>
      </w:r>
      <w:r>
        <w:rPr>
          <w:rFonts w:hint="eastAsia" w:eastAsia="仿宋_GB2312" w:cs="仿宋_GB2312"/>
          <w:kern w:val="0"/>
          <w:sz w:val="32"/>
          <w:szCs w:val="32"/>
          <w:lang w:val="zh-CN"/>
        </w:rPr>
        <w:t>通用指标、专用指标、个性指标</w:t>
      </w:r>
      <w:r>
        <w:rPr>
          <w:rFonts w:eastAsia="仿宋_GB2312" w:cs="仿宋_GB2312"/>
          <w:kern w:val="0"/>
          <w:sz w:val="32"/>
          <w:szCs w:val="32"/>
          <w:lang w:val="zh-CN"/>
        </w:rPr>
        <w:t>涉及</w:t>
      </w:r>
      <w:r>
        <w:rPr>
          <w:rFonts w:hint="eastAsia" w:eastAsia="仿宋_GB2312" w:cs="仿宋_GB2312"/>
          <w:kern w:val="0"/>
          <w:sz w:val="32"/>
          <w:szCs w:val="32"/>
          <w:lang w:val="zh-CN"/>
        </w:rPr>
        <w:t>二、三级</w:t>
      </w:r>
      <w:r>
        <w:rPr>
          <w:rFonts w:eastAsia="仿宋_GB2312" w:cs="仿宋_GB2312"/>
          <w:kern w:val="0"/>
          <w:sz w:val="32"/>
          <w:szCs w:val="32"/>
          <w:lang w:val="zh-CN"/>
        </w:rPr>
        <w:t>指标进行</w:t>
      </w:r>
      <w:r>
        <w:rPr>
          <w:rFonts w:hint="eastAsia" w:eastAsia="仿宋_GB2312" w:cs="仿宋_GB2312"/>
          <w:kern w:val="0"/>
          <w:sz w:val="32"/>
          <w:szCs w:val="32"/>
          <w:lang w:val="zh-CN"/>
        </w:rPr>
        <w:t>逐项</w:t>
      </w:r>
      <w:r>
        <w:rPr>
          <w:rFonts w:eastAsia="仿宋_GB2312" w:cs="仿宋_GB2312"/>
          <w:kern w:val="0"/>
          <w:sz w:val="32"/>
          <w:szCs w:val="32"/>
          <w:lang w:val="zh-CN"/>
        </w:rPr>
        <w:t>绩效分析</w:t>
      </w:r>
      <w:r>
        <w:rPr>
          <w:rFonts w:hint="eastAsia" w:eastAsia="仿宋_GB2312" w:cs="仿宋_GB2312"/>
          <w:kern w:val="0"/>
          <w:sz w:val="32"/>
          <w:szCs w:val="32"/>
          <w:lang w:val="zh-CN"/>
        </w:rPr>
        <w:t>并评分</w:t>
      </w:r>
      <w:r>
        <w:rPr>
          <w:rFonts w:hint="eastAsia" w:eastAsia="仿宋_GB2312" w:cs="仿宋_GB2312"/>
          <w:kern w:val="0"/>
          <w:sz w:val="32"/>
          <w:szCs w:val="32"/>
        </w:rPr>
        <w:t>。</w:t>
      </w:r>
    </w:p>
    <w:p>
      <w:pPr>
        <w:spacing w:line="578" w:lineRule="exact"/>
        <w:ind w:firstLine="640"/>
        <w:rPr>
          <w:rFonts w:eastAsia="楷体_GB2312"/>
          <w:b/>
          <w:sz w:val="32"/>
          <w:szCs w:val="32"/>
        </w:rPr>
      </w:pPr>
      <w:r>
        <w:rPr>
          <w:rFonts w:hint="eastAsia" w:eastAsia="楷体_GB2312"/>
          <w:b/>
          <w:sz w:val="32"/>
          <w:szCs w:val="32"/>
          <w:lang w:val="zh-CN"/>
        </w:rPr>
        <w:t>（一）</w:t>
      </w:r>
      <w:r>
        <w:rPr>
          <w:rFonts w:hint="eastAsia" w:eastAsia="楷体_GB2312"/>
          <w:b/>
          <w:sz w:val="32"/>
          <w:szCs w:val="32"/>
        </w:rPr>
        <w:t>通用指标</w:t>
      </w:r>
      <w:r>
        <w:rPr>
          <w:rFonts w:eastAsia="楷体_GB2312"/>
          <w:b/>
          <w:bCs/>
          <w:color w:val="000000"/>
          <w:kern w:val="0"/>
          <w:sz w:val="32"/>
          <w:szCs w:val="32"/>
          <w:shd w:val="clear" w:color="auto" w:fill="FFFFFF"/>
          <w:lang w:val="zh-CN"/>
        </w:rPr>
        <w:t>绩效分析。</w:t>
      </w:r>
    </w:p>
    <w:p>
      <w:pPr>
        <w:spacing w:line="578" w:lineRule="exact"/>
        <w:ind w:firstLine="640"/>
        <w:rPr>
          <w:rFonts w:eastAsia="仿宋_GB2312" w:cs="仿宋_GB2312"/>
          <w:kern w:val="0"/>
          <w:sz w:val="32"/>
          <w:szCs w:val="32"/>
          <w:lang w:val="zh-CN"/>
        </w:rPr>
      </w:pPr>
      <w:r>
        <w:rPr>
          <w:rFonts w:hint="eastAsia" w:eastAsia="仿宋_GB2312" w:cs="仿宋_GB2312"/>
          <w:kern w:val="0"/>
          <w:sz w:val="32"/>
          <w:szCs w:val="32"/>
        </w:rPr>
        <w:t>1.</w:t>
      </w:r>
      <w:r>
        <w:rPr>
          <w:rFonts w:hint="eastAsia" w:eastAsia="仿宋_GB2312" w:cs="仿宋_GB2312"/>
          <w:kern w:val="0"/>
          <w:sz w:val="32"/>
          <w:szCs w:val="32"/>
          <w:lang w:val="zh-CN"/>
        </w:rPr>
        <w:t>项目决策。项目决策程序严密，符合资金管理基本规范和决策程序要求，规划论证符合中省要求，项目绩效目标设置科学合理，项目资金与项目总体规划、相关行业事业发展相匹配，该项指标得分18分。</w:t>
      </w:r>
    </w:p>
    <w:p>
      <w:pPr>
        <w:spacing w:line="578" w:lineRule="exact"/>
        <w:ind w:firstLine="640"/>
        <w:rPr>
          <w:rFonts w:eastAsia="仿宋_GB2312" w:cs="仿宋_GB2312"/>
          <w:kern w:val="0"/>
          <w:sz w:val="32"/>
          <w:szCs w:val="32"/>
          <w:lang w:val="zh-CN"/>
        </w:rPr>
      </w:pPr>
      <w:r>
        <w:rPr>
          <w:rFonts w:hint="eastAsia" w:eastAsia="仿宋_GB2312" w:cs="仿宋_GB2312"/>
          <w:kern w:val="0"/>
          <w:sz w:val="32"/>
          <w:szCs w:val="32"/>
        </w:rPr>
        <w:t>2.</w:t>
      </w:r>
      <w:r>
        <w:rPr>
          <w:rFonts w:hint="eastAsia" w:eastAsia="仿宋_GB2312" w:cs="仿宋_GB2312"/>
          <w:kern w:val="0"/>
          <w:sz w:val="32"/>
          <w:szCs w:val="32"/>
          <w:lang w:val="zh-CN"/>
        </w:rPr>
        <w:t>项目管理。项目制度办法体系健全、要素完备，资金分配因素选取、权重设置、区域分布，项目管理、审批符合管理要求，项目绩效监管按要求开展，该项指标得分18分。</w:t>
      </w:r>
    </w:p>
    <w:p>
      <w:pPr>
        <w:spacing w:line="578" w:lineRule="exact"/>
        <w:ind w:firstLine="640"/>
        <w:rPr>
          <w:rFonts w:eastAsia="仿宋_GB2312" w:cs="仿宋_GB2312"/>
          <w:kern w:val="0"/>
          <w:sz w:val="32"/>
          <w:szCs w:val="32"/>
          <w:lang w:val="zh-CN"/>
        </w:rPr>
      </w:pPr>
      <w:r>
        <w:rPr>
          <w:rFonts w:hint="eastAsia" w:eastAsia="仿宋_GB2312" w:cs="仿宋_GB2312"/>
          <w:kern w:val="0"/>
          <w:sz w:val="32"/>
          <w:szCs w:val="32"/>
        </w:rPr>
        <w:t>3.项目实施。</w:t>
      </w:r>
      <w:r>
        <w:rPr>
          <w:rFonts w:hint="eastAsia" w:eastAsia="仿宋_GB2312" w:cs="仿宋_GB2312"/>
          <w:kern w:val="0"/>
          <w:sz w:val="32"/>
          <w:szCs w:val="32"/>
          <w:lang w:val="zh-CN"/>
        </w:rPr>
        <w:t>项目资金使用拨付、项目实施符合规定，该项指标得分9分。</w:t>
      </w:r>
    </w:p>
    <w:p>
      <w:pPr>
        <w:spacing w:line="578" w:lineRule="exact"/>
        <w:ind w:firstLine="640"/>
        <w:rPr>
          <w:rFonts w:eastAsia="仿宋_GB2312" w:cs="仿宋_GB2312"/>
          <w:kern w:val="0"/>
          <w:sz w:val="32"/>
          <w:szCs w:val="32"/>
          <w:lang w:val="zh-CN"/>
        </w:rPr>
      </w:pPr>
      <w:r>
        <w:rPr>
          <w:rFonts w:hint="eastAsia" w:eastAsia="仿宋_GB2312" w:cs="仿宋_GB2312"/>
          <w:kern w:val="0"/>
          <w:sz w:val="32"/>
          <w:szCs w:val="32"/>
        </w:rPr>
        <w:t>4.项目结果。项目如期完成预期目标，实施结果与绩效目标相匹配，该项指标得分9分。</w:t>
      </w:r>
    </w:p>
    <w:p>
      <w:pPr>
        <w:spacing w:line="578" w:lineRule="exact"/>
        <w:ind w:firstLine="640"/>
        <w:rPr>
          <w:rFonts w:eastAsia="楷体_GB2312"/>
          <w:b/>
          <w:bCs/>
          <w:color w:val="000000"/>
          <w:kern w:val="0"/>
          <w:sz w:val="32"/>
          <w:szCs w:val="32"/>
          <w:shd w:val="clear" w:color="auto" w:fill="FFFFFF"/>
          <w:lang w:val="zh-CN"/>
        </w:rPr>
      </w:pPr>
      <w:r>
        <w:rPr>
          <w:rFonts w:hint="eastAsia" w:eastAsia="楷体_GB2312"/>
          <w:b/>
          <w:sz w:val="32"/>
          <w:szCs w:val="32"/>
          <w:lang w:val="zh-CN"/>
        </w:rPr>
        <w:t>（二）</w:t>
      </w:r>
      <w:r>
        <w:rPr>
          <w:rFonts w:hint="eastAsia" w:eastAsia="楷体_GB2312"/>
          <w:b/>
          <w:sz w:val="32"/>
          <w:szCs w:val="32"/>
        </w:rPr>
        <w:t>专用指标</w:t>
      </w:r>
      <w:r>
        <w:rPr>
          <w:rFonts w:eastAsia="楷体_GB2312"/>
          <w:b/>
          <w:bCs/>
          <w:color w:val="000000"/>
          <w:kern w:val="0"/>
          <w:sz w:val="32"/>
          <w:szCs w:val="32"/>
          <w:shd w:val="clear" w:color="auto" w:fill="FFFFFF"/>
          <w:lang w:val="zh-CN"/>
        </w:rPr>
        <w:t>绩效分析</w:t>
      </w:r>
    </w:p>
    <w:p>
      <w:pPr>
        <w:spacing w:line="578" w:lineRule="exact"/>
        <w:ind w:firstLine="640"/>
        <w:rPr>
          <w:rFonts w:eastAsia="仿宋_GB2312" w:cs="仿宋_GB2312"/>
          <w:kern w:val="0"/>
          <w:sz w:val="32"/>
          <w:szCs w:val="32"/>
          <w:lang w:val="zh-CN"/>
        </w:rPr>
      </w:pPr>
      <w:r>
        <w:rPr>
          <w:rFonts w:hint="eastAsia" w:eastAsia="仿宋_GB2312" w:cs="仿宋_GB2312"/>
          <w:kern w:val="0"/>
          <w:sz w:val="32"/>
          <w:szCs w:val="32"/>
          <w:lang w:val="zh-CN"/>
        </w:rPr>
        <w:t>项目按规定用途、适用范围进行本地区专项资金分配、资金管理程序符合专项资金管理要求、资金分配标准符合专项资金管理要求</w:t>
      </w:r>
      <w:r>
        <w:rPr>
          <w:rFonts w:hint="eastAsia" w:eastAsia="仿宋_GB2312" w:cs="仿宋_GB2312"/>
          <w:kern w:val="0"/>
          <w:sz w:val="32"/>
          <w:szCs w:val="32"/>
        </w:rPr>
        <w:t>，该项指标得分30分。</w:t>
      </w:r>
    </w:p>
    <w:p>
      <w:pPr>
        <w:spacing w:line="578" w:lineRule="exact"/>
        <w:ind w:firstLine="640"/>
        <w:rPr>
          <w:rFonts w:eastAsia="楷体_GB2312"/>
          <w:b/>
          <w:bCs/>
          <w:color w:val="000000"/>
          <w:kern w:val="0"/>
          <w:sz w:val="32"/>
          <w:szCs w:val="32"/>
          <w:shd w:val="clear" w:color="auto" w:fill="FFFFFF"/>
          <w:lang w:val="zh-CN"/>
        </w:rPr>
      </w:pPr>
      <w:r>
        <w:rPr>
          <w:rFonts w:hint="eastAsia" w:eastAsia="楷体_GB2312"/>
          <w:b/>
          <w:sz w:val="32"/>
          <w:szCs w:val="32"/>
          <w:lang w:val="zh-CN"/>
        </w:rPr>
        <w:t>（三）</w:t>
      </w:r>
      <w:r>
        <w:rPr>
          <w:rFonts w:hint="eastAsia" w:eastAsia="楷体_GB2312"/>
          <w:b/>
          <w:sz w:val="32"/>
          <w:szCs w:val="32"/>
        </w:rPr>
        <w:t>个性指标</w:t>
      </w:r>
      <w:r>
        <w:rPr>
          <w:rFonts w:eastAsia="楷体_GB2312"/>
          <w:b/>
          <w:bCs/>
          <w:color w:val="000000"/>
          <w:kern w:val="0"/>
          <w:sz w:val="32"/>
          <w:szCs w:val="32"/>
          <w:shd w:val="clear" w:color="auto" w:fill="FFFFFF"/>
          <w:lang w:val="zh-CN"/>
        </w:rPr>
        <w:t>绩效分析</w:t>
      </w:r>
    </w:p>
    <w:p>
      <w:pPr>
        <w:spacing w:line="578" w:lineRule="exact"/>
        <w:ind w:firstLine="640"/>
        <w:rPr>
          <w:rFonts w:eastAsia="仿宋_GB2312" w:cs="仿宋_GB2312"/>
          <w:kern w:val="0"/>
          <w:sz w:val="32"/>
          <w:szCs w:val="32"/>
        </w:rPr>
      </w:pPr>
      <w:r>
        <w:rPr>
          <w:rFonts w:hint="eastAsia" w:eastAsia="仿宋_GB2312" w:cs="仿宋_GB2312"/>
          <w:kern w:val="0"/>
          <w:sz w:val="32"/>
          <w:szCs w:val="32"/>
          <w:lang w:val="zh-CN"/>
        </w:rPr>
        <w:t>项目的实施有效运维档案保管保护设备，档案查阅利用效果好，查档群众满意度高</w:t>
      </w:r>
      <w:r>
        <w:rPr>
          <w:rFonts w:hint="eastAsia" w:eastAsia="仿宋_GB2312" w:cs="仿宋_GB2312"/>
          <w:kern w:val="0"/>
          <w:sz w:val="32"/>
          <w:szCs w:val="32"/>
        </w:rPr>
        <w:t>，该项指标得分16分。</w:t>
      </w:r>
    </w:p>
    <w:p>
      <w:pPr>
        <w:spacing w:line="578"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四、评价结论</w:t>
      </w:r>
    </w:p>
    <w:p>
      <w:pPr>
        <w:spacing w:line="578" w:lineRule="exact"/>
        <w:ind w:firstLine="640"/>
        <w:rPr>
          <w:rFonts w:eastAsia="仿宋_GB2312" w:cs="仿宋_GB2312"/>
          <w:kern w:val="0"/>
          <w:sz w:val="32"/>
          <w:szCs w:val="32"/>
        </w:rPr>
      </w:pPr>
      <w:r>
        <w:rPr>
          <w:rFonts w:hint="eastAsia" w:eastAsia="仿宋_GB2312" w:cs="仿宋_GB2312"/>
          <w:kern w:val="0"/>
          <w:sz w:val="32"/>
          <w:szCs w:val="32"/>
        </w:rPr>
        <w:t>总体而言，2025年度沐川县档案馆专项资金相关项目决策较科学合理、项目管理较规范到位、项目完成质量较高、运行保障有力，专项资金绩效自评100分。</w:t>
      </w:r>
    </w:p>
    <w:p>
      <w:pPr>
        <w:spacing w:line="578"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五、存在主要问题</w:t>
      </w:r>
    </w:p>
    <w:p>
      <w:pPr>
        <w:spacing w:line="578" w:lineRule="exact"/>
        <w:ind w:firstLine="640"/>
        <w:rPr>
          <w:rFonts w:eastAsia="仿宋_GB2312" w:cs="仿宋_GB2312"/>
          <w:kern w:val="0"/>
          <w:sz w:val="32"/>
          <w:szCs w:val="32"/>
        </w:rPr>
      </w:pPr>
      <w:r>
        <w:rPr>
          <w:rFonts w:hint="eastAsia" w:eastAsia="仿宋_GB2312" w:cs="仿宋_GB2312"/>
          <w:kern w:val="0"/>
          <w:sz w:val="32"/>
          <w:szCs w:val="32"/>
        </w:rPr>
        <w:t>无。</w:t>
      </w:r>
    </w:p>
    <w:p>
      <w:pPr>
        <w:spacing w:line="578"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六、改进建议</w:t>
      </w:r>
    </w:p>
    <w:p>
      <w:pPr>
        <w:spacing w:line="578" w:lineRule="exact"/>
        <w:ind w:firstLine="640"/>
        <w:rPr>
          <w:rFonts w:eastAsia="仿宋_GB2312" w:cs="仿宋_GB2312"/>
          <w:kern w:val="0"/>
          <w:sz w:val="32"/>
          <w:szCs w:val="32"/>
        </w:rPr>
      </w:pPr>
      <w:r>
        <w:rPr>
          <w:rFonts w:hint="eastAsia" w:eastAsia="仿宋_GB2312" w:cs="仿宋_GB2312"/>
          <w:kern w:val="0"/>
          <w:sz w:val="32"/>
          <w:szCs w:val="32"/>
        </w:rPr>
        <w:t>无。</w:t>
      </w:r>
    </w:p>
    <w:p>
      <w:pPr>
        <w:spacing w:line="578" w:lineRule="exact"/>
        <w:ind w:firstLine="640"/>
        <w:rPr>
          <w:rFonts w:eastAsia="仿宋_GB2312" w:cs="仿宋_GB2312"/>
          <w:kern w:val="0"/>
          <w:sz w:val="32"/>
          <w:szCs w:val="32"/>
        </w:rPr>
      </w:pPr>
      <w:bookmarkStart w:id="125" w:name="_Toc15396618"/>
      <w:r>
        <w:rPr>
          <w:rFonts w:hint="eastAsia" w:eastAsia="仿宋_GB2312" w:cs="仿宋_GB2312"/>
          <w:kern w:val="0"/>
          <w:sz w:val="32"/>
          <w:szCs w:val="32"/>
        </w:rPr>
        <w:br w:type="page"/>
      </w:r>
    </w:p>
    <w:p>
      <w:pPr>
        <w:pStyle w:val="5"/>
        <w:jc w:val="center"/>
        <w:rPr>
          <w:rStyle w:val="28"/>
          <w:rFonts w:eastAsia="方正小标宋简体" w:cs="方正小标宋简体"/>
          <w:b w:val="0"/>
          <w:bCs w:val="0"/>
        </w:rPr>
      </w:pPr>
      <w:bookmarkStart w:id="126" w:name="_Toc240573326"/>
      <w:r>
        <w:rPr>
          <w:rStyle w:val="28"/>
          <w:rFonts w:hint="eastAsia" w:eastAsia="方正小标宋简体" w:cs="方正小标宋简体"/>
          <w:b w:val="0"/>
          <w:bCs w:val="0"/>
        </w:rPr>
        <w:t>第五部分 附表</w:t>
      </w:r>
      <w:bookmarkEnd w:id="118"/>
      <w:bookmarkEnd w:id="125"/>
      <w:bookmarkEnd w:id="126"/>
      <w:bookmarkStart w:id="127"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127"/>
    </w:p>
    <w:p>
      <w:pPr>
        <w:pStyle w:val="14"/>
        <w:adjustRightInd w:val="0"/>
        <w:snapToGrid w:val="0"/>
        <w:spacing w:line="560" w:lineRule="exact"/>
        <w:jc w:val="left"/>
        <w:rPr>
          <w:rFonts w:eastAsia="仿宋_GB2312" w:cs="仿宋_GB2312"/>
          <w:sz w:val="32"/>
          <w:szCs w:val="32"/>
        </w:rPr>
      </w:pPr>
      <w:bookmarkStart w:id="128" w:name="_Toc15396620"/>
      <w:r>
        <w:rPr>
          <w:rFonts w:hint="eastAsia" w:eastAsia="仿宋_GB2312" w:cs="仿宋_GB2312"/>
          <w:sz w:val="32"/>
          <w:szCs w:val="32"/>
        </w:rPr>
        <w:t>二、收入决算表</w:t>
      </w:r>
      <w:bookmarkEnd w:id="128"/>
    </w:p>
    <w:p>
      <w:pPr>
        <w:pStyle w:val="14"/>
        <w:adjustRightInd w:val="0"/>
        <w:snapToGrid w:val="0"/>
        <w:spacing w:line="560" w:lineRule="exact"/>
        <w:jc w:val="left"/>
        <w:rPr>
          <w:rFonts w:eastAsia="仿宋_GB2312" w:cs="仿宋_GB2312"/>
          <w:sz w:val="32"/>
          <w:szCs w:val="32"/>
        </w:rPr>
      </w:pPr>
      <w:bookmarkStart w:id="129" w:name="_Toc15396621"/>
      <w:r>
        <w:rPr>
          <w:rFonts w:hint="eastAsia" w:eastAsia="仿宋_GB2312" w:cs="仿宋_GB2312"/>
          <w:sz w:val="32"/>
          <w:szCs w:val="32"/>
        </w:rPr>
        <w:t>三、支出决算表</w:t>
      </w:r>
      <w:bookmarkEnd w:id="129"/>
    </w:p>
    <w:p>
      <w:pPr>
        <w:pStyle w:val="14"/>
        <w:adjustRightInd w:val="0"/>
        <w:snapToGrid w:val="0"/>
        <w:spacing w:line="560" w:lineRule="exact"/>
        <w:jc w:val="left"/>
        <w:rPr>
          <w:rFonts w:eastAsia="仿宋_GB2312" w:cs="仿宋_GB2312"/>
          <w:sz w:val="32"/>
          <w:szCs w:val="32"/>
        </w:rPr>
      </w:pPr>
      <w:bookmarkStart w:id="130" w:name="_Toc15396622"/>
      <w:r>
        <w:rPr>
          <w:rFonts w:hint="eastAsia" w:eastAsia="仿宋_GB2312" w:cs="仿宋_GB2312"/>
          <w:sz w:val="32"/>
          <w:szCs w:val="32"/>
        </w:rPr>
        <w:t>四、财政拨款收入支出决算总表</w:t>
      </w:r>
      <w:bookmarkEnd w:id="130"/>
    </w:p>
    <w:p>
      <w:pPr>
        <w:pStyle w:val="14"/>
        <w:adjustRightInd w:val="0"/>
        <w:snapToGrid w:val="0"/>
        <w:spacing w:line="560" w:lineRule="exact"/>
        <w:jc w:val="left"/>
        <w:rPr>
          <w:rFonts w:eastAsia="仿宋_GB2312" w:cs="仿宋_GB2312"/>
          <w:sz w:val="32"/>
          <w:szCs w:val="32"/>
        </w:rPr>
      </w:pPr>
      <w:bookmarkStart w:id="131" w:name="_Toc15396623"/>
      <w:r>
        <w:rPr>
          <w:rFonts w:hint="eastAsia" w:eastAsia="仿宋_GB2312" w:cs="仿宋_GB2312"/>
          <w:sz w:val="32"/>
          <w:szCs w:val="32"/>
        </w:rPr>
        <w:t>五、财政拨款支出决算明细表</w:t>
      </w:r>
      <w:bookmarkEnd w:id="131"/>
      <w:bookmarkStart w:id="132"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132"/>
    </w:p>
    <w:p>
      <w:pPr>
        <w:pStyle w:val="14"/>
        <w:adjustRightInd w:val="0"/>
        <w:snapToGrid w:val="0"/>
        <w:spacing w:line="560" w:lineRule="exact"/>
        <w:jc w:val="left"/>
        <w:rPr>
          <w:rFonts w:eastAsia="仿宋_GB2312" w:cs="仿宋_GB2312"/>
          <w:sz w:val="32"/>
          <w:szCs w:val="32"/>
        </w:rPr>
      </w:pPr>
      <w:bookmarkStart w:id="133" w:name="_Toc15396625"/>
      <w:r>
        <w:rPr>
          <w:rFonts w:hint="eastAsia" w:eastAsia="仿宋_GB2312" w:cs="仿宋_GB2312"/>
          <w:sz w:val="32"/>
          <w:szCs w:val="32"/>
        </w:rPr>
        <w:t>七、一般公共预算财政拨款支出决算明细表</w:t>
      </w:r>
      <w:bookmarkEnd w:id="133"/>
    </w:p>
    <w:p>
      <w:pPr>
        <w:pStyle w:val="14"/>
        <w:adjustRightInd w:val="0"/>
        <w:snapToGrid w:val="0"/>
        <w:spacing w:line="560" w:lineRule="exact"/>
        <w:jc w:val="left"/>
        <w:rPr>
          <w:rFonts w:eastAsia="仿宋_GB2312" w:cs="仿宋_GB2312"/>
          <w:sz w:val="32"/>
          <w:szCs w:val="32"/>
        </w:rPr>
      </w:pPr>
      <w:bookmarkStart w:id="134" w:name="_Toc15396626"/>
      <w:r>
        <w:rPr>
          <w:rFonts w:hint="eastAsia" w:eastAsia="仿宋_GB2312" w:cs="仿宋_GB2312"/>
          <w:sz w:val="32"/>
          <w:szCs w:val="32"/>
        </w:rPr>
        <w:t>八、一般公共预算财政拨款基本支出决算表</w:t>
      </w:r>
      <w:bookmarkEnd w:id="134"/>
    </w:p>
    <w:p>
      <w:pPr>
        <w:pStyle w:val="14"/>
        <w:adjustRightInd w:val="0"/>
        <w:snapToGrid w:val="0"/>
        <w:spacing w:line="560" w:lineRule="exact"/>
        <w:jc w:val="left"/>
        <w:rPr>
          <w:rFonts w:eastAsia="仿宋_GB2312" w:cs="仿宋_GB2312"/>
          <w:sz w:val="32"/>
          <w:szCs w:val="32"/>
        </w:rPr>
      </w:pPr>
      <w:bookmarkStart w:id="135" w:name="_Toc15396627"/>
      <w:r>
        <w:rPr>
          <w:rFonts w:hint="eastAsia" w:eastAsia="仿宋_GB2312" w:cs="仿宋_GB2312"/>
          <w:sz w:val="32"/>
          <w:szCs w:val="32"/>
        </w:rPr>
        <w:t>九、一般公共预算财政拨款项目支出决算表</w:t>
      </w:r>
      <w:bookmarkEnd w:id="135"/>
    </w:p>
    <w:p>
      <w:pPr>
        <w:pStyle w:val="14"/>
        <w:adjustRightInd w:val="0"/>
        <w:snapToGrid w:val="0"/>
        <w:spacing w:line="560" w:lineRule="exact"/>
        <w:jc w:val="left"/>
        <w:rPr>
          <w:rFonts w:eastAsia="仿宋_GB2312" w:cs="仿宋_GB2312"/>
          <w:sz w:val="32"/>
          <w:szCs w:val="32"/>
        </w:rPr>
      </w:pPr>
      <w:bookmarkStart w:id="136" w:name="_Toc15396628"/>
      <w:r>
        <w:rPr>
          <w:rFonts w:hint="eastAsia" w:eastAsia="仿宋_GB2312" w:cs="仿宋_GB2312"/>
          <w:sz w:val="32"/>
          <w:szCs w:val="32"/>
        </w:rPr>
        <w:t>十、</w:t>
      </w:r>
      <w:bookmarkEnd w:id="136"/>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137" w:name="_Toc15396629"/>
      <w:r>
        <w:rPr>
          <w:rFonts w:hint="eastAsia" w:eastAsia="仿宋_GB2312" w:cs="仿宋_GB2312"/>
          <w:sz w:val="32"/>
          <w:szCs w:val="32"/>
        </w:rPr>
        <w:t>十一、</w:t>
      </w:r>
      <w:bookmarkEnd w:id="137"/>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138" w:name="_Toc15396630"/>
      <w:r>
        <w:rPr>
          <w:rFonts w:hint="eastAsia" w:eastAsia="仿宋_GB2312" w:cs="仿宋_GB2312"/>
          <w:sz w:val="32"/>
          <w:szCs w:val="32"/>
        </w:rPr>
        <w:t>十二、</w:t>
      </w:r>
      <w:bookmarkEnd w:id="138"/>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139" w:name="_Toc15396631"/>
      <w:r>
        <w:rPr>
          <w:rFonts w:hint="eastAsia" w:eastAsia="仿宋_GB2312" w:cs="仿宋_GB2312"/>
          <w:sz w:val="32"/>
          <w:szCs w:val="32"/>
        </w:rPr>
        <w:t>十三、</w:t>
      </w:r>
      <w:bookmarkEnd w:id="139"/>
      <w:r>
        <w:rPr>
          <w:rFonts w:hint="eastAsia" w:eastAsia="仿宋_GB2312" w:cs="仿宋_GB2312"/>
          <w:sz w:val="32"/>
          <w:szCs w:val="32"/>
        </w:rPr>
        <w:t>财政拨款“三公”经费支出决算表</w:t>
      </w:r>
    </w:p>
    <w:p/>
    <w:sectPr>
      <w:pgSz w:w="11906" w:h="16838"/>
      <w:pgMar w:top="2098" w:right="1474" w:bottom="1985"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7068710"/>
    </w:sdtPr>
    <w:sdtContent>
      <w:p>
        <w:pPr>
          <w:pStyle w:val="11"/>
          <w:jc w:val="center"/>
        </w:pPr>
        <w:r>
          <w:fldChar w:fldCharType="begin"/>
        </w:r>
        <w:r>
          <w:instrText xml:space="preserve"> PAGE   \* MERGEFORMAT </w:instrText>
        </w:r>
        <w:r>
          <w:fldChar w:fldCharType="separate"/>
        </w:r>
        <w:r>
          <w:rPr>
            <w:lang w:val="zh-CN"/>
          </w:rPr>
          <w:t>I</w:t>
        </w:r>
        <w:r>
          <w:rPr>
            <w:lang w:val="zh-CN"/>
          </w:rPr>
          <w:fldChar w:fldCharType="end"/>
        </w:r>
      </w:p>
    </w:sdtContent>
  </w:sdt>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11"/>
                </w:pPr>
                <w:r>
                  <w:rPr>
                    <w:rFonts w:hint="eastAsia"/>
                  </w:rPr>
                  <w:fldChar w:fldCharType="begin"/>
                </w:r>
                <w: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242EF9"/>
    <w:multiLevelType w:val="multilevel"/>
    <w:tmpl w:val="3E242EF9"/>
    <w:lvl w:ilvl="0" w:tentative="0">
      <w:start w:val="1"/>
      <w:numFmt w:val="japaneseCounting"/>
      <w:lvlText w:val="%1、"/>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0032E"/>
    <w:rsid w:val="00013861"/>
    <w:rsid w:val="000222C6"/>
    <w:rsid w:val="0002549F"/>
    <w:rsid w:val="00037D41"/>
    <w:rsid w:val="00044338"/>
    <w:rsid w:val="000468DB"/>
    <w:rsid w:val="000518D1"/>
    <w:rsid w:val="0006487A"/>
    <w:rsid w:val="00065F8F"/>
    <w:rsid w:val="000703C1"/>
    <w:rsid w:val="00070A43"/>
    <w:rsid w:val="00073FF8"/>
    <w:rsid w:val="000768F2"/>
    <w:rsid w:val="00085A6D"/>
    <w:rsid w:val="0009184B"/>
    <w:rsid w:val="00094236"/>
    <w:rsid w:val="0009593C"/>
    <w:rsid w:val="00097322"/>
    <w:rsid w:val="000A4192"/>
    <w:rsid w:val="000A6A92"/>
    <w:rsid w:val="000B047F"/>
    <w:rsid w:val="000B195B"/>
    <w:rsid w:val="000B307B"/>
    <w:rsid w:val="000B52F0"/>
    <w:rsid w:val="000B5923"/>
    <w:rsid w:val="000B5A48"/>
    <w:rsid w:val="000B6FF3"/>
    <w:rsid w:val="000C1854"/>
    <w:rsid w:val="000C3467"/>
    <w:rsid w:val="000C3CA6"/>
    <w:rsid w:val="000D1267"/>
    <w:rsid w:val="000D1D50"/>
    <w:rsid w:val="000D5782"/>
    <w:rsid w:val="000E2000"/>
    <w:rsid w:val="000E6613"/>
    <w:rsid w:val="000E7119"/>
    <w:rsid w:val="000F7326"/>
    <w:rsid w:val="00105AD0"/>
    <w:rsid w:val="00114E9B"/>
    <w:rsid w:val="0014048C"/>
    <w:rsid w:val="00142216"/>
    <w:rsid w:val="00144D6A"/>
    <w:rsid w:val="0014729F"/>
    <w:rsid w:val="00157BAB"/>
    <w:rsid w:val="001654D1"/>
    <w:rsid w:val="00174518"/>
    <w:rsid w:val="0018106D"/>
    <w:rsid w:val="00182875"/>
    <w:rsid w:val="001877A7"/>
    <w:rsid w:val="00191536"/>
    <w:rsid w:val="00196687"/>
    <w:rsid w:val="001B798D"/>
    <w:rsid w:val="001C0962"/>
    <w:rsid w:val="001D1E7C"/>
    <w:rsid w:val="001D7531"/>
    <w:rsid w:val="001E69B8"/>
    <w:rsid w:val="001E737D"/>
    <w:rsid w:val="001F0592"/>
    <w:rsid w:val="001F7506"/>
    <w:rsid w:val="002006CD"/>
    <w:rsid w:val="00202B36"/>
    <w:rsid w:val="00204784"/>
    <w:rsid w:val="00204B7A"/>
    <w:rsid w:val="00204CDE"/>
    <w:rsid w:val="0021101A"/>
    <w:rsid w:val="00213893"/>
    <w:rsid w:val="00220536"/>
    <w:rsid w:val="00235629"/>
    <w:rsid w:val="0024072E"/>
    <w:rsid w:val="00241191"/>
    <w:rsid w:val="002425C8"/>
    <w:rsid w:val="0025769E"/>
    <w:rsid w:val="00260C38"/>
    <w:rsid w:val="002616C0"/>
    <w:rsid w:val="00265372"/>
    <w:rsid w:val="002662AA"/>
    <w:rsid w:val="00275975"/>
    <w:rsid w:val="00276033"/>
    <w:rsid w:val="002773FC"/>
    <w:rsid w:val="00280496"/>
    <w:rsid w:val="00281355"/>
    <w:rsid w:val="00287FFD"/>
    <w:rsid w:val="002911F5"/>
    <w:rsid w:val="00294DC9"/>
    <w:rsid w:val="00295495"/>
    <w:rsid w:val="002A31DE"/>
    <w:rsid w:val="002A3944"/>
    <w:rsid w:val="002B1AD1"/>
    <w:rsid w:val="002B2613"/>
    <w:rsid w:val="002D5AFA"/>
    <w:rsid w:val="002D6D05"/>
    <w:rsid w:val="002F1818"/>
    <w:rsid w:val="002F567B"/>
    <w:rsid w:val="00300124"/>
    <w:rsid w:val="0031574D"/>
    <w:rsid w:val="003216A9"/>
    <w:rsid w:val="00326415"/>
    <w:rsid w:val="00327794"/>
    <w:rsid w:val="00330146"/>
    <w:rsid w:val="00335A74"/>
    <w:rsid w:val="0036561B"/>
    <w:rsid w:val="0036633B"/>
    <w:rsid w:val="0037013F"/>
    <w:rsid w:val="00370F3F"/>
    <w:rsid w:val="00380C92"/>
    <w:rsid w:val="003865FA"/>
    <w:rsid w:val="003901F0"/>
    <w:rsid w:val="003A484F"/>
    <w:rsid w:val="003A4883"/>
    <w:rsid w:val="003B0BE0"/>
    <w:rsid w:val="003B0C1B"/>
    <w:rsid w:val="003B1AD8"/>
    <w:rsid w:val="003B5FDA"/>
    <w:rsid w:val="003B688C"/>
    <w:rsid w:val="003C0291"/>
    <w:rsid w:val="003C1227"/>
    <w:rsid w:val="003C39AE"/>
    <w:rsid w:val="003C7B60"/>
    <w:rsid w:val="003D0432"/>
    <w:rsid w:val="003D0C0F"/>
    <w:rsid w:val="003D1FB2"/>
    <w:rsid w:val="003D66DA"/>
    <w:rsid w:val="003E1310"/>
    <w:rsid w:val="003E6F55"/>
    <w:rsid w:val="00400782"/>
    <w:rsid w:val="00406254"/>
    <w:rsid w:val="004223DE"/>
    <w:rsid w:val="00426887"/>
    <w:rsid w:val="00434489"/>
    <w:rsid w:val="00437085"/>
    <w:rsid w:val="004373D6"/>
    <w:rsid w:val="00443880"/>
    <w:rsid w:val="004464F4"/>
    <w:rsid w:val="004576AF"/>
    <w:rsid w:val="004620E3"/>
    <w:rsid w:val="00462F96"/>
    <w:rsid w:val="00471401"/>
    <w:rsid w:val="00473F31"/>
    <w:rsid w:val="0048263A"/>
    <w:rsid w:val="00487BE2"/>
    <w:rsid w:val="00487E5D"/>
    <w:rsid w:val="00496451"/>
    <w:rsid w:val="004A0D17"/>
    <w:rsid w:val="004A711F"/>
    <w:rsid w:val="004B199D"/>
    <w:rsid w:val="004B4690"/>
    <w:rsid w:val="004B511E"/>
    <w:rsid w:val="004E0A2D"/>
    <w:rsid w:val="004E206B"/>
    <w:rsid w:val="004E63DF"/>
    <w:rsid w:val="004E6DF7"/>
    <w:rsid w:val="004F0FBD"/>
    <w:rsid w:val="00505208"/>
    <w:rsid w:val="00505A47"/>
    <w:rsid w:val="00512FDA"/>
    <w:rsid w:val="005143A2"/>
    <w:rsid w:val="00520DA0"/>
    <w:rsid w:val="00523382"/>
    <w:rsid w:val="00526C9B"/>
    <w:rsid w:val="005664BB"/>
    <w:rsid w:val="00566FFA"/>
    <w:rsid w:val="00571715"/>
    <w:rsid w:val="0057481D"/>
    <w:rsid w:val="005754A1"/>
    <w:rsid w:val="0058486E"/>
    <w:rsid w:val="00585B33"/>
    <w:rsid w:val="0059014D"/>
    <w:rsid w:val="00595314"/>
    <w:rsid w:val="005B2641"/>
    <w:rsid w:val="005B5C64"/>
    <w:rsid w:val="005C150F"/>
    <w:rsid w:val="005C5337"/>
    <w:rsid w:val="005C6BD0"/>
    <w:rsid w:val="005D1C8B"/>
    <w:rsid w:val="005D44B9"/>
    <w:rsid w:val="005D468D"/>
    <w:rsid w:val="005D5CED"/>
    <w:rsid w:val="005E79A5"/>
    <w:rsid w:val="005F1A4C"/>
    <w:rsid w:val="00601D25"/>
    <w:rsid w:val="00605688"/>
    <w:rsid w:val="006070AF"/>
    <w:rsid w:val="00607E6C"/>
    <w:rsid w:val="006101B1"/>
    <w:rsid w:val="00614E44"/>
    <w:rsid w:val="006200AD"/>
    <w:rsid w:val="0062270A"/>
    <w:rsid w:val="00622830"/>
    <w:rsid w:val="00623DA0"/>
    <w:rsid w:val="00630AEF"/>
    <w:rsid w:val="006325F8"/>
    <w:rsid w:val="00633463"/>
    <w:rsid w:val="00633BF2"/>
    <w:rsid w:val="00634C9A"/>
    <w:rsid w:val="006440E4"/>
    <w:rsid w:val="0066343B"/>
    <w:rsid w:val="00664777"/>
    <w:rsid w:val="006704E4"/>
    <w:rsid w:val="006748A4"/>
    <w:rsid w:val="00677E71"/>
    <w:rsid w:val="00681A31"/>
    <w:rsid w:val="00683E73"/>
    <w:rsid w:val="00695796"/>
    <w:rsid w:val="006A3141"/>
    <w:rsid w:val="006A5E34"/>
    <w:rsid w:val="006B2422"/>
    <w:rsid w:val="006B2B9A"/>
    <w:rsid w:val="006B497F"/>
    <w:rsid w:val="006C1937"/>
    <w:rsid w:val="006E58DD"/>
    <w:rsid w:val="006F020C"/>
    <w:rsid w:val="007127B7"/>
    <w:rsid w:val="00713405"/>
    <w:rsid w:val="0071798E"/>
    <w:rsid w:val="007369A2"/>
    <w:rsid w:val="007416B6"/>
    <w:rsid w:val="007449FA"/>
    <w:rsid w:val="00746F48"/>
    <w:rsid w:val="0075404D"/>
    <w:rsid w:val="00754C96"/>
    <w:rsid w:val="0076182A"/>
    <w:rsid w:val="00761FB1"/>
    <w:rsid w:val="007659CF"/>
    <w:rsid w:val="00766285"/>
    <w:rsid w:val="00767B10"/>
    <w:rsid w:val="00767B7E"/>
    <w:rsid w:val="007770C3"/>
    <w:rsid w:val="00784D24"/>
    <w:rsid w:val="00785FBA"/>
    <w:rsid w:val="00786E4A"/>
    <w:rsid w:val="007875EB"/>
    <w:rsid w:val="00793DD7"/>
    <w:rsid w:val="0079426B"/>
    <w:rsid w:val="007C20C3"/>
    <w:rsid w:val="007D1682"/>
    <w:rsid w:val="007D312A"/>
    <w:rsid w:val="007D3F19"/>
    <w:rsid w:val="007E23B0"/>
    <w:rsid w:val="007E23E5"/>
    <w:rsid w:val="007E6E54"/>
    <w:rsid w:val="007F1991"/>
    <w:rsid w:val="007F2C2F"/>
    <w:rsid w:val="007F4842"/>
    <w:rsid w:val="007F55FC"/>
    <w:rsid w:val="007F5665"/>
    <w:rsid w:val="007F5B83"/>
    <w:rsid w:val="00800112"/>
    <w:rsid w:val="00803EB2"/>
    <w:rsid w:val="00813348"/>
    <w:rsid w:val="00816AA1"/>
    <w:rsid w:val="008253BB"/>
    <w:rsid w:val="008320F4"/>
    <w:rsid w:val="0083489D"/>
    <w:rsid w:val="0083706E"/>
    <w:rsid w:val="008408F6"/>
    <w:rsid w:val="008423A5"/>
    <w:rsid w:val="00850625"/>
    <w:rsid w:val="008527A7"/>
    <w:rsid w:val="00853718"/>
    <w:rsid w:val="00855221"/>
    <w:rsid w:val="00860645"/>
    <w:rsid w:val="00871F71"/>
    <w:rsid w:val="00872FD8"/>
    <w:rsid w:val="00885AF4"/>
    <w:rsid w:val="008939CD"/>
    <w:rsid w:val="008A088E"/>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4890"/>
    <w:rsid w:val="00944B5B"/>
    <w:rsid w:val="00946945"/>
    <w:rsid w:val="00951248"/>
    <w:rsid w:val="0095152F"/>
    <w:rsid w:val="00954C49"/>
    <w:rsid w:val="00955747"/>
    <w:rsid w:val="00955E37"/>
    <w:rsid w:val="0097099F"/>
    <w:rsid w:val="00971997"/>
    <w:rsid w:val="00971FFC"/>
    <w:rsid w:val="00972A0E"/>
    <w:rsid w:val="009770D1"/>
    <w:rsid w:val="00983842"/>
    <w:rsid w:val="009853B1"/>
    <w:rsid w:val="0098660A"/>
    <w:rsid w:val="00990109"/>
    <w:rsid w:val="009931C3"/>
    <w:rsid w:val="009A43F4"/>
    <w:rsid w:val="009B2C43"/>
    <w:rsid w:val="009B31A7"/>
    <w:rsid w:val="009B4EAE"/>
    <w:rsid w:val="009B7573"/>
    <w:rsid w:val="009C22F4"/>
    <w:rsid w:val="009C2A4B"/>
    <w:rsid w:val="009C2E98"/>
    <w:rsid w:val="009D3447"/>
    <w:rsid w:val="009D4711"/>
    <w:rsid w:val="009E23E0"/>
    <w:rsid w:val="009F1185"/>
    <w:rsid w:val="009F18CD"/>
    <w:rsid w:val="009F2A13"/>
    <w:rsid w:val="009F7527"/>
    <w:rsid w:val="00A04EB0"/>
    <w:rsid w:val="00A069F0"/>
    <w:rsid w:val="00A13CC1"/>
    <w:rsid w:val="00A16847"/>
    <w:rsid w:val="00A237D8"/>
    <w:rsid w:val="00A268C4"/>
    <w:rsid w:val="00A307CD"/>
    <w:rsid w:val="00A331C8"/>
    <w:rsid w:val="00A36C78"/>
    <w:rsid w:val="00A40A00"/>
    <w:rsid w:val="00A40F4C"/>
    <w:rsid w:val="00A4142F"/>
    <w:rsid w:val="00A422EB"/>
    <w:rsid w:val="00A4429B"/>
    <w:rsid w:val="00A45BB7"/>
    <w:rsid w:val="00A559B0"/>
    <w:rsid w:val="00A56DF2"/>
    <w:rsid w:val="00A56E6E"/>
    <w:rsid w:val="00A67AB5"/>
    <w:rsid w:val="00A733B2"/>
    <w:rsid w:val="00A741C2"/>
    <w:rsid w:val="00A91760"/>
    <w:rsid w:val="00A93B00"/>
    <w:rsid w:val="00A93C21"/>
    <w:rsid w:val="00AA2D96"/>
    <w:rsid w:val="00AB64C9"/>
    <w:rsid w:val="00AC0EE2"/>
    <w:rsid w:val="00AC2657"/>
    <w:rsid w:val="00AC3C6A"/>
    <w:rsid w:val="00AD0B0E"/>
    <w:rsid w:val="00AD5620"/>
    <w:rsid w:val="00AD60D1"/>
    <w:rsid w:val="00AD656B"/>
    <w:rsid w:val="00AD7C1B"/>
    <w:rsid w:val="00AE16BA"/>
    <w:rsid w:val="00AE1EBE"/>
    <w:rsid w:val="00B02607"/>
    <w:rsid w:val="00B03C9D"/>
    <w:rsid w:val="00B060AE"/>
    <w:rsid w:val="00B078AD"/>
    <w:rsid w:val="00B10517"/>
    <w:rsid w:val="00B14E76"/>
    <w:rsid w:val="00B161B8"/>
    <w:rsid w:val="00B2048C"/>
    <w:rsid w:val="00B2085B"/>
    <w:rsid w:val="00B310B9"/>
    <w:rsid w:val="00B33090"/>
    <w:rsid w:val="00B35F3F"/>
    <w:rsid w:val="00B36CBB"/>
    <w:rsid w:val="00B425E0"/>
    <w:rsid w:val="00B435AC"/>
    <w:rsid w:val="00B440AA"/>
    <w:rsid w:val="00B442B9"/>
    <w:rsid w:val="00B44B70"/>
    <w:rsid w:val="00B52262"/>
    <w:rsid w:val="00B53C56"/>
    <w:rsid w:val="00B57DAF"/>
    <w:rsid w:val="00B63ACC"/>
    <w:rsid w:val="00B70348"/>
    <w:rsid w:val="00B77EA6"/>
    <w:rsid w:val="00B81598"/>
    <w:rsid w:val="00B841F1"/>
    <w:rsid w:val="00B941D2"/>
    <w:rsid w:val="00B944D6"/>
    <w:rsid w:val="00BB4DF0"/>
    <w:rsid w:val="00BB7F0A"/>
    <w:rsid w:val="00BC289F"/>
    <w:rsid w:val="00BC2D50"/>
    <w:rsid w:val="00BC5361"/>
    <w:rsid w:val="00BC5460"/>
    <w:rsid w:val="00BC6134"/>
    <w:rsid w:val="00BC6B50"/>
    <w:rsid w:val="00BD0D20"/>
    <w:rsid w:val="00BD0E25"/>
    <w:rsid w:val="00BF5BD6"/>
    <w:rsid w:val="00C03E31"/>
    <w:rsid w:val="00C33E72"/>
    <w:rsid w:val="00C354B2"/>
    <w:rsid w:val="00C35554"/>
    <w:rsid w:val="00C42709"/>
    <w:rsid w:val="00C43A35"/>
    <w:rsid w:val="00C533CC"/>
    <w:rsid w:val="00C56D0C"/>
    <w:rsid w:val="00C5751C"/>
    <w:rsid w:val="00C61BFC"/>
    <w:rsid w:val="00C62B85"/>
    <w:rsid w:val="00C65438"/>
    <w:rsid w:val="00C75361"/>
    <w:rsid w:val="00C87FD8"/>
    <w:rsid w:val="00C91381"/>
    <w:rsid w:val="00C91CBB"/>
    <w:rsid w:val="00C96C2E"/>
    <w:rsid w:val="00CB0A15"/>
    <w:rsid w:val="00CB4E70"/>
    <w:rsid w:val="00CC09B6"/>
    <w:rsid w:val="00CC254F"/>
    <w:rsid w:val="00CC666F"/>
    <w:rsid w:val="00CD1E3F"/>
    <w:rsid w:val="00CD5C34"/>
    <w:rsid w:val="00CE44F6"/>
    <w:rsid w:val="00CE49DA"/>
    <w:rsid w:val="00CE7B61"/>
    <w:rsid w:val="00D00095"/>
    <w:rsid w:val="00D00F37"/>
    <w:rsid w:val="00D114F0"/>
    <w:rsid w:val="00D20620"/>
    <w:rsid w:val="00D254F7"/>
    <w:rsid w:val="00D26091"/>
    <w:rsid w:val="00D2685C"/>
    <w:rsid w:val="00D34E7C"/>
    <w:rsid w:val="00D35190"/>
    <w:rsid w:val="00D35489"/>
    <w:rsid w:val="00D36AFE"/>
    <w:rsid w:val="00D44ED2"/>
    <w:rsid w:val="00D51276"/>
    <w:rsid w:val="00D55C7E"/>
    <w:rsid w:val="00D63E5B"/>
    <w:rsid w:val="00D63EB3"/>
    <w:rsid w:val="00D7035F"/>
    <w:rsid w:val="00D81EAD"/>
    <w:rsid w:val="00D92F5D"/>
    <w:rsid w:val="00D9735C"/>
    <w:rsid w:val="00DA634F"/>
    <w:rsid w:val="00DA65AC"/>
    <w:rsid w:val="00DB0164"/>
    <w:rsid w:val="00DB1913"/>
    <w:rsid w:val="00DB60E1"/>
    <w:rsid w:val="00DC410D"/>
    <w:rsid w:val="00DC5A81"/>
    <w:rsid w:val="00DC68CA"/>
    <w:rsid w:val="00DC7CBA"/>
    <w:rsid w:val="00DD73B7"/>
    <w:rsid w:val="00DE501B"/>
    <w:rsid w:val="00DF28BC"/>
    <w:rsid w:val="00DF34B9"/>
    <w:rsid w:val="00E01053"/>
    <w:rsid w:val="00E01F70"/>
    <w:rsid w:val="00E07ACF"/>
    <w:rsid w:val="00E16C5F"/>
    <w:rsid w:val="00E331A1"/>
    <w:rsid w:val="00E33202"/>
    <w:rsid w:val="00E336A9"/>
    <w:rsid w:val="00E35A1E"/>
    <w:rsid w:val="00E472B1"/>
    <w:rsid w:val="00E50624"/>
    <w:rsid w:val="00E54633"/>
    <w:rsid w:val="00E568DF"/>
    <w:rsid w:val="00E64269"/>
    <w:rsid w:val="00E67ED3"/>
    <w:rsid w:val="00E82267"/>
    <w:rsid w:val="00E842D6"/>
    <w:rsid w:val="00E853CE"/>
    <w:rsid w:val="00E867B6"/>
    <w:rsid w:val="00E91ACF"/>
    <w:rsid w:val="00EA010F"/>
    <w:rsid w:val="00EA152E"/>
    <w:rsid w:val="00EA4D00"/>
    <w:rsid w:val="00EA7763"/>
    <w:rsid w:val="00EC5C8D"/>
    <w:rsid w:val="00ED1B63"/>
    <w:rsid w:val="00ED3C1F"/>
    <w:rsid w:val="00ED4085"/>
    <w:rsid w:val="00ED420E"/>
    <w:rsid w:val="00ED6FBE"/>
    <w:rsid w:val="00EE2F57"/>
    <w:rsid w:val="00EE472F"/>
    <w:rsid w:val="00EF4C34"/>
    <w:rsid w:val="00EF77C6"/>
    <w:rsid w:val="00F05438"/>
    <w:rsid w:val="00F1361C"/>
    <w:rsid w:val="00F156F0"/>
    <w:rsid w:val="00F160C7"/>
    <w:rsid w:val="00F21B31"/>
    <w:rsid w:val="00F2408F"/>
    <w:rsid w:val="00F240E9"/>
    <w:rsid w:val="00F253A2"/>
    <w:rsid w:val="00F309FF"/>
    <w:rsid w:val="00F30CE3"/>
    <w:rsid w:val="00F36D8F"/>
    <w:rsid w:val="00F417B1"/>
    <w:rsid w:val="00F456FA"/>
    <w:rsid w:val="00F45853"/>
    <w:rsid w:val="00F545C6"/>
    <w:rsid w:val="00F602DF"/>
    <w:rsid w:val="00F754A1"/>
    <w:rsid w:val="00F755A0"/>
    <w:rsid w:val="00F81FD9"/>
    <w:rsid w:val="00F841AA"/>
    <w:rsid w:val="00F84A94"/>
    <w:rsid w:val="00F84BB7"/>
    <w:rsid w:val="00F87E96"/>
    <w:rsid w:val="00F95504"/>
    <w:rsid w:val="00FA23E8"/>
    <w:rsid w:val="00FD3CC1"/>
    <w:rsid w:val="00FD713C"/>
    <w:rsid w:val="00FE1437"/>
    <w:rsid w:val="00FE5552"/>
    <w:rsid w:val="00FE5D3D"/>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AB48F1"/>
    <w:rsid w:val="0DE07E2B"/>
    <w:rsid w:val="0EC25CDA"/>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2FF75D9B"/>
    <w:rsid w:val="319F7F4E"/>
    <w:rsid w:val="321B2544"/>
    <w:rsid w:val="3304709D"/>
    <w:rsid w:val="34281836"/>
    <w:rsid w:val="349D6851"/>
    <w:rsid w:val="350213D4"/>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D76531"/>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FD8B8B"/>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7EF953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TOC 标题3"/>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33</Pages>
  <Words>10666</Words>
  <Characters>2774</Characters>
  <Lines>23</Lines>
  <Paragraphs>26</Paragraphs>
  <TotalTime>7211066</TotalTime>
  <ScaleCrop>false</ScaleCrop>
  <LinksUpToDate>false</LinksUpToDate>
  <CharactersWithSpaces>13414</CharactersWithSpaces>
  <Application>WPS Office_11.1.0.11720_F1E327BC-269C-435d-A152-05C5408002CA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uos</cp:lastModifiedBy>
  <cp:lastPrinted>2026-09-21T04:46:00Z</cp:lastPrinted>
  <dcterms:modified xsi:type="dcterms:W3CDTF">2026-09-21T19:27:36Z</dcterms:modified>
  <dc:title>四川省***</dc:title>
  <cp:revision>260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2052-11.1.0.11720</vt:lpwstr>
  </property>
  <property fmtid="{D5CDD505-2E9C-101B-9397-08002B2CF9AE}" pid="3" name="ICV">
    <vt:lpwstr>400D301575C74348A5277D00A7902E06</vt:lpwstr>
  </property>
</Properties>
</file>