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AFE57">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06267"/>
      <w:bookmarkStart w:id="2" w:name="_Toc15378441"/>
      <w:bookmarkStart w:id="3" w:name="_Toc15377193"/>
      <w:bookmarkStart w:id="4" w:name="_Toc15396597"/>
      <w:bookmarkStart w:id="5" w:name="_Toc15396475"/>
    </w:p>
    <w:p w14:paraId="721D47F9">
      <w:pPr>
        <w:pStyle w:val="8"/>
        <w:rPr>
          <w:rFonts w:hint="eastAsia" w:ascii="Times New Roman" w:hAnsi="Times New Roman" w:eastAsia="方正小标宋简体" w:cs="Times New Roman"/>
          <w:color w:val="auto"/>
          <w:kern w:val="2"/>
          <w:sz w:val="72"/>
          <w:szCs w:val="72"/>
          <w:highlight w:val="none"/>
          <w:lang w:val="en-US" w:eastAsia="zh-CN" w:bidi="ar-SA"/>
        </w:rPr>
      </w:pPr>
    </w:p>
    <w:p w14:paraId="4CE9916C">
      <w:pPr>
        <w:pStyle w:val="8"/>
        <w:rPr>
          <w:rFonts w:hint="eastAsia" w:ascii="Times New Roman" w:hAnsi="Times New Roman" w:eastAsia="方正小标宋简体" w:cs="Times New Roman"/>
          <w:color w:val="auto"/>
          <w:kern w:val="2"/>
          <w:sz w:val="72"/>
          <w:szCs w:val="72"/>
          <w:highlight w:val="none"/>
          <w:lang w:val="en-US" w:eastAsia="zh-CN" w:bidi="ar-SA"/>
        </w:rPr>
      </w:pPr>
    </w:p>
    <w:p w14:paraId="234BB3D8">
      <w:pPr>
        <w:pStyle w:val="8"/>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2025年度沐川县</w:t>
      </w:r>
    </w:p>
    <w:p w14:paraId="48CAF641">
      <w:pPr>
        <w:pStyle w:val="8"/>
        <w:jc w:val="center"/>
        <w:rPr>
          <w:rFonts w:hint="default"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高笋乡人民政府部门决算公开</w:t>
      </w:r>
    </w:p>
    <w:p w14:paraId="0FCAF7FD">
      <w:pPr>
        <w:spacing w:line="600" w:lineRule="exact"/>
        <w:jc w:val="center"/>
        <w:outlineLvl w:val="0"/>
        <w:rPr>
          <w:rFonts w:ascii="Times New Roman" w:hAnsi="Times New Roman" w:eastAsia="方正小标宋简体"/>
          <w:color w:val="auto"/>
          <w:sz w:val="72"/>
          <w:szCs w:val="72"/>
          <w:highlight w:val="none"/>
        </w:rPr>
      </w:pPr>
    </w:p>
    <w:p w14:paraId="27CB623D">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decimal"/>
          <w:cols w:space="425" w:num="1"/>
          <w:titlePg/>
          <w:docGrid w:type="lines" w:linePitch="312" w:charSpace="0"/>
        </w:sectPr>
      </w:pPr>
    </w:p>
    <w:p w14:paraId="3568709C">
      <w:pPr>
        <w:rPr>
          <w:rFonts w:ascii="Times New Roman" w:hAnsi="Times New Roman"/>
        </w:rPr>
      </w:pPr>
    </w:p>
    <w:bookmarkEnd w:id="0"/>
    <w:bookmarkEnd w:id="1"/>
    <w:bookmarkEnd w:id="2"/>
    <w:bookmarkEnd w:id="3"/>
    <w:bookmarkEnd w:id="4"/>
    <w:bookmarkEnd w:id="5"/>
    <w:p w14:paraId="0D757C45">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54BD1EAD">
      <w:pPr>
        <w:widowControl/>
        <w:jc w:val="center"/>
        <w:rPr>
          <w:rFonts w:ascii="Times New Roman" w:hAnsi="Times New Roman" w:eastAsia="黑体" w:cstheme="minorBidi"/>
          <w:color w:val="auto"/>
          <w:sz w:val="28"/>
          <w:szCs w:val="28"/>
          <w:highlight w:val="none"/>
        </w:rPr>
      </w:pPr>
    </w:p>
    <w:p w14:paraId="02ADFCCD">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21</w:t>
      </w:r>
      <w:bookmarkStart w:id="78" w:name="_GoBack"/>
      <w:bookmarkEnd w:id="78"/>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82311"/>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60214C86">
          <w:pPr>
            <w:spacing w:before="0" w:beforeLines="0" w:after="0" w:afterLines="0" w:line="240" w:lineRule="auto"/>
            <w:ind w:left="0" w:leftChars="0" w:right="0" w:rightChars="0" w:firstLine="0" w:firstLineChars="0"/>
            <w:jc w:val="center"/>
          </w:pPr>
          <w:bookmarkStart w:id="6" w:name="_Toc15377196"/>
          <w:bookmarkStart w:id="7" w:name="_Toc15396599"/>
        </w:p>
        <w:p w14:paraId="1906856A">
          <w:pPr>
            <w:pStyle w:val="13"/>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r>
            <w:rPr>
              <w:rFonts w:hint="default" w:ascii="Times New Roman" w:hAnsi="Times New Roman" w:eastAsia="黑体" w:cs="Times New Roman"/>
              <w:color w:val="000000"/>
              <w:kern w:val="0"/>
              <w:sz w:val="31"/>
              <w:szCs w:val="31"/>
              <w:lang w:val="en-US" w:eastAsia="zh-CN" w:bidi="ar"/>
            </w:rPr>
            <w:fldChar w:fldCharType="begin"/>
          </w:r>
          <w:r>
            <w:rPr>
              <w:rFonts w:hint="default" w:ascii="Times New Roman" w:hAnsi="Times New Roman" w:eastAsia="黑体" w:cs="Times New Roman"/>
              <w:color w:val="000000"/>
              <w:kern w:val="0"/>
              <w:sz w:val="31"/>
              <w:szCs w:val="31"/>
              <w:lang w:val="en-US" w:eastAsia="zh-CN" w:bidi="ar"/>
            </w:rPr>
            <w:instrText xml:space="preserve"> HYPERLINK \l _Toc8964 </w:instrText>
          </w:r>
          <w:r>
            <w:rPr>
              <w:rFonts w:hint="default" w:ascii="Times New Roman" w:hAnsi="Times New Roman" w:eastAsia="黑体" w:cs="Times New Roman"/>
              <w:color w:val="000000"/>
              <w:kern w:val="0"/>
              <w:sz w:val="31"/>
              <w:szCs w:val="31"/>
              <w:lang w:val="en-US" w:eastAsia="zh-CN" w:bidi="ar"/>
            </w:rPr>
            <w:fldChar w:fldCharType="separate"/>
          </w:r>
          <w:r>
            <w:rPr>
              <w:rFonts w:hint="default" w:ascii="Times New Roman" w:hAnsi="Times New Roman" w:eastAsia="黑体" w:cs="Times New Roman"/>
              <w:color w:val="000000"/>
              <w:kern w:val="0"/>
              <w:sz w:val="31"/>
              <w:szCs w:val="31"/>
              <w:lang w:val="en-US" w:eastAsia="zh-CN" w:bidi="ar"/>
            </w:rPr>
            <w:t>第一部分  部门概况</w:t>
          </w:r>
          <w:r>
            <w:rPr>
              <w:rFonts w:hint="default" w:ascii="Times New Roman" w:hAnsi="Times New Roman" w:eastAsia="黑体" w:cs="Times New Roman"/>
              <w:color w:val="000000"/>
              <w:kern w:val="0"/>
              <w:sz w:val="31"/>
              <w:szCs w:val="31"/>
              <w:lang w:val="en-US" w:eastAsia="zh-CN" w:bidi="ar"/>
            </w:rPr>
            <w:tab/>
          </w:r>
          <w:r>
            <w:rPr>
              <w:rFonts w:hint="default" w:ascii="Times New Roman" w:hAnsi="Times New Roman" w:eastAsia="黑体" w:cs="Times New Roman"/>
              <w:color w:val="000000"/>
              <w:kern w:val="0"/>
              <w:sz w:val="31"/>
              <w:szCs w:val="31"/>
              <w:lang w:val="en-US" w:eastAsia="zh-CN" w:bidi="ar"/>
            </w:rPr>
            <w:fldChar w:fldCharType="begin"/>
          </w:r>
          <w:r>
            <w:rPr>
              <w:rFonts w:hint="default" w:ascii="Times New Roman" w:hAnsi="Times New Roman" w:eastAsia="黑体" w:cs="Times New Roman"/>
              <w:color w:val="000000"/>
              <w:kern w:val="0"/>
              <w:sz w:val="31"/>
              <w:szCs w:val="31"/>
              <w:lang w:val="en-US" w:eastAsia="zh-CN" w:bidi="ar"/>
            </w:rPr>
            <w:instrText xml:space="preserve"> PAGEREF _Toc8964 \h </w:instrText>
          </w:r>
          <w:r>
            <w:rPr>
              <w:rFonts w:hint="default" w:ascii="Times New Roman" w:hAnsi="Times New Roman" w:eastAsia="黑体" w:cs="Times New Roman"/>
              <w:color w:val="000000"/>
              <w:kern w:val="0"/>
              <w:sz w:val="31"/>
              <w:szCs w:val="31"/>
              <w:lang w:val="en-US" w:eastAsia="zh-CN" w:bidi="ar"/>
            </w:rPr>
            <w:fldChar w:fldCharType="separate"/>
          </w:r>
          <w:r>
            <w:rPr>
              <w:rFonts w:hint="default" w:ascii="Times New Roman" w:hAnsi="Times New Roman" w:eastAsia="黑体" w:cs="Times New Roman"/>
              <w:color w:val="000000"/>
              <w:kern w:val="0"/>
              <w:sz w:val="31"/>
              <w:szCs w:val="31"/>
              <w:lang w:val="en-US" w:eastAsia="zh-CN" w:bidi="ar"/>
            </w:rPr>
            <w:t>3</w:t>
          </w:r>
          <w:r>
            <w:rPr>
              <w:rFonts w:hint="default" w:ascii="Times New Roman" w:hAnsi="Times New Roman" w:eastAsia="黑体" w:cs="Times New Roman"/>
              <w:color w:val="000000"/>
              <w:kern w:val="0"/>
              <w:sz w:val="31"/>
              <w:szCs w:val="31"/>
              <w:lang w:val="en-US" w:eastAsia="zh-CN" w:bidi="ar"/>
            </w:rPr>
            <w:fldChar w:fldCharType="end"/>
          </w:r>
          <w:r>
            <w:rPr>
              <w:rFonts w:hint="default" w:ascii="Times New Roman" w:hAnsi="Times New Roman" w:eastAsia="黑体" w:cs="Times New Roman"/>
              <w:color w:val="000000"/>
              <w:kern w:val="0"/>
              <w:sz w:val="31"/>
              <w:szCs w:val="31"/>
              <w:lang w:val="en-US" w:eastAsia="zh-CN" w:bidi="ar"/>
            </w:rPr>
            <w:fldChar w:fldCharType="end"/>
          </w:r>
        </w:p>
        <w:p w14:paraId="601DC5BA">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_Toc22751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一、 部门职责</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_Toc22751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3</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0A891758">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_Toc5546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二、 机构设置</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_Toc5546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4</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4944D1E8">
          <w:pPr>
            <w:pStyle w:val="13"/>
            <w:tabs>
              <w:tab w:val="right" w:leader="dot" w:pos="8306"/>
              <w:tab w:val="clear" w:pos="8296"/>
            </w:tabs>
            <w:rPr>
              <w:rFonts w:hint="default" w:ascii="Times New Roman" w:hAnsi="Times New Roman" w:eastAsia="黑体" w:cs="Times New Roman"/>
              <w:color w:val="000000"/>
              <w:kern w:val="0"/>
              <w:sz w:val="31"/>
              <w:szCs w:val="31"/>
              <w:lang w:val="en-US" w:eastAsia="zh-CN" w:bidi="ar"/>
            </w:rPr>
          </w:pPr>
          <w:r>
            <w:rPr>
              <w:rFonts w:hint="default" w:ascii="Times New Roman" w:hAnsi="Times New Roman" w:eastAsia="黑体" w:cs="Times New Roman"/>
              <w:color w:val="000000"/>
              <w:kern w:val="0"/>
              <w:sz w:val="31"/>
              <w:szCs w:val="31"/>
              <w:lang w:val="en-US" w:eastAsia="zh-CN" w:bidi="ar"/>
            </w:rPr>
            <w:fldChar w:fldCharType="begin"/>
          </w:r>
          <w:r>
            <w:rPr>
              <w:rFonts w:hint="default" w:ascii="Times New Roman" w:hAnsi="Times New Roman" w:eastAsia="黑体" w:cs="Times New Roman"/>
              <w:color w:val="000000"/>
              <w:kern w:val="0"/>
              <w:sz w:val="31"/>
              <w:szCs w:val="31"/>
              <w:lang w:val="en-US" w:eastAsia="zh-CN" w:bidi="ar"/>
            </w:rPr>
            <w:instrText xml:space="preserve"> HYPERLINK \l _Toc4703 </w:instrText>
          </w:r>
          <w:r>
            <w:rPr>
              <w:rFonts w:hint="default" w:ascii="Times New Roman" w:hAnsi="Times New Roman" w:eastAsia="黑体" w:cs="Times New Roman"/>
              <w:color w:val="000000"/>
              <w:kern w:val="0"/>
              <w:sz w:val="31"/>
              <w:szCs w:val="31"/>
              <w:lang w:val="en-US" w:eastAsia="zh-CN" w:bidi="ar"/>
            </w:rPr>
            <w:fldChar w:fldCharType="separate"/>
          </w:r>
          <w:r>
            <w:rPr>
              <w:rFonts w:hint="default" w:ascii="Times New Roman" w:hAnsi="Times New Roman" w:eastAsia="黑体" w:cs="Times New Roman"/>
              <w:color w:val="000000"/>
              <w:kern w:val="0"/>
              <w:sz w:val="31"/>
              <w:szCs w:val="31"/>
              <w:lang w:val="en-US" w:eastAsia="zh-CN" w:bidi="ar"/>
            </w:rPr>
            <w:t xml:space="preserve">第二部分  </w:t>
          </w:r>
          <w:r>
            <w:rPr>
              <w:rFonts w:hint="eastAsia" w:ascii="Times New Roman" w:hAnsi="Times New Roman" w:eastAsia="黑体" w:cs="Times New Roman"/>
              <w:color w:val="000000"/>
              <w:kern w:val="0"/>
              <w:sz w:val="31"/>
              <w:szCs w:val="31"/>
              <w:lang w:val="en-US" w:eastAsia="zh-CN" w:bidi="ar"/>
            </w:rPr>
            <w:t>2025</w:t>
          </w:r>
          <w:r>
            <w:rPr>
              <w:rFonts w:hint="default" w:ascii="Times New Roman" w:hAnsi="Times New Roman" w:eastAsia="黑体" w:cs="Times New Roman"/>
              <w:color w:val="000000"/>
              <w:kern w:val="0"/>
              <w:sz w:val="31"/>
              <w:szCs w:val="31"/>
              <w:lang w:val="en-US" w:eastAsia="zh-CN" w:bidi="ar"/>
            </w:rPr>
            <w:t>年度部门决算情况说明</w:t>
          </w:r>
          <w:r>
            <w:rPr>
              <w:rFonts w:hint="default" w:ascii="Times New Roman" w:hAnsi="Times New Roman" w:eastAsia="黑体" w:cs="Times New Roman"/>
              <w:color w:val="000000"/>
              <w:kern w:val="0"/>
              <w:sz w:val="31"/>
              <w:szCs w:val="31"/>
              <w:lang w:val="en-US" w:eastAsia="zh-CN" w:bidi="ar"/>
            </w:rPr>
            <w:tab/>
          </w:r>
          <w:r>
            <w:rPr>
              <w:rFonts w:hint="default" w:ascii="Times New Roman" w:hAnsi="Times New Roman" w:eastAsia="黑体" w:cs="Times New Roman"/>
              <w:color w:val="000000"/>
              <w:kern w:val="0"/>
              <w:sz w:val="31"/>
              <w:szCs w:val="31"/>
              <w:lang w:val="en-US" w:eastAsia="zh-CN" w:bidi="ar"/>
            </w:rPr>
            <w:fldChar w:fldCharType="begin"/>
          </w:r>
          <w:r>
            <w:rPr>
              <w:rFonts w:hint="default" w:ascii="Times New Roman" w:hAnsi="Times New Roman" w:eastAsia="黑体" w:cs="Times New Roman"/>
              <w:color w:val="000000"/>
              <w:kern w:val="0"/>
              <w:sz w:val="31"/>
              <w:szCs w:val="31"/>
              <w:lang w:val="en-US" w:eastAsia="zh-CN" w:bidi="ar"/>
            </w:rPr>
            <w:instrText xml:space="preserve"> PAGEREF _Toc4703 \h </w:instrText>
          </w:r>
          <w:r>
            <w:rPr>
              <w:rFonts w:hint="default" w:ascii="Times New Roman" w:hAnsi="Times New Roman" w:eastAsia="黑体" w:cs="Times New Roman"/>
              <w:color w:val="000000"/>
              <w:kern w:val="0"/>
              <w:sz w:val="31"/>
              <w:szCs w:val="31"/>
              <w:lang w:val="en-US" w:eastAsia="zh-CN" w:bidi="ar"/>
            </w:rPr>
            <w:fldChar w:fldCharType="separate"/>
          </w:r>
          <w:r>
            <w:rPr>
              <w:rFonts w:hint="default" w:ascii="Times New Roman" w:hAnsi="Times New Roman" w:eastAsia="黑体" w:cs="Times New Roman"/>
              <w:color w:val="000000"/>
              <w:kern w:val="0"/>
              <w:sz w:val="31"/>
              <w:szCs w:val="31"/>
              <w:lang w:val="en-US" w:eastAsia="zh-CN" w:bidi="ar"/>
            </w:rPr>
            <w:t>4</w:t>
          </w:r>
          <w:r>
            <w:rPr>
              <w:rFonts w:hint="default" w:ascii="Times New Roman" w:hAnsi="Times New Roman" w:eastAsia="黑体" w:cs="Times New Roman"/>
              <w:color w:val="000000"/>
              <w:kern w:val="0"/>
              <w:sz w:val="31"/>
              <w:szCs w:val="31"/>
              <w:lang w:val="en-US" w:eastAsia="zh-CN" w:bidi="ar"/>
            </w:rPr>
            <w:fldChar w:fldCharType="end"/>
          </w:r>
          <w:r>
            <w:rPr>
              <w:rFonts w:hint="default" w:ascii="Times New Roman" w:hAnsi="Times New Roman" w:eastAsia="黑体" w:cs="Times New Roman"/>
              <w:color w:val="000000"/>
              <w:kern w:val="0"/>
              <w:sz w:val="31"/>
              <w:szCs w:val="31"/>
              <w:lang w:val="en-US" w:eastAsia="zh-CN" w:bidi="ar"/>
            </w:rPr>
            <w:fldChar w:fldCharType="end"/>
          </w:r>
        </w:p>
        <w:p w14:paraId="2AA32444">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_Toc22637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一、收入支出决算总体情况说明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_Toc22637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4</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314FF5C9">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_Toc4464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二、收入决算情况说明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_Toc4464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5</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5254C653">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_Toc18318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三、支出决算情况说明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_Toc18318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5</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7CEC8208">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_Toc7672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四、财政拨款收入支出决算总体情况说明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_Toc7672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6</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1BF20BA2">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_Toc28616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五、一般公共预算财政拨款支出决算情况说明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_Toc28616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6</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6732B721">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_Toc12877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六、一般公共预算财政拨款基本支出决算情况说明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_Toc12877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10</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51BD59B7">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_Toc28243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七、财政拨款“三公”经费支出决算情况说明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_Toc28243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11</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31810871">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_Toc27958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八、政府性基金预算支出决算情况说明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_Toc27958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12</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19CFF9FA">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_Toc24221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九、国有资本经营预算支出决算情况说明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_Toc24221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13</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69D359AC">
          <w:pPr>
            <w:pStyle w:val="14"/>
            <w:tabs>
              <w:tab w:val="right" w:leader="dot" w:pos="8306"/>
              <w:tab w:val="clear" w:pos="8296"/>
            </w:tabs>
            <w:rPr>
              <w:rFonts w:hint="default" w:ascii="Times New Roman" w:hAnsi="Times New Roman" w:eastAsia="仿宋_GB2312" w:cs="Times New Roman"/>
              <w:color w:val="000000"/>
              <w:kern w:val="0"/>
              <w:sz w:val="31"/>
              <w:szCs w:val="31"/>
              <w:lang w:val="en-US" w:eastAsia="zh-CN" w:bidi="ar"/>
            </w:rPr>
          </w:pP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HYPERLINK \l _Toc27493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十、其他重要事项的情况说明</w:t>
          </w:r>
          <w:r>
            <w:rPr>
              <w:rFonts w:hint="default" w:ascii="Times New Roman" w:hAnsi="Times New Roman" w:eastAsia="仿宋_GB2312" w:cs="Times New Roman"/>
              <w:color w:val="000000"/>
              <w:kern w:val="0"/>
              <w:sz w:val="31"/>
              <w:szCs w:val="31"/>
              <w:lang w:val="en-US" w:eastAsia="zh-CN" w:bidi="ar"/>
            </w:rPr>
            <w:tab/>
          </w:r>
          <w:r>
            <w:rPr>
              <w:rFonts w:hint="default" w:ascii="Times New Roman" w:hAnsi="Times New Roman" w:eastAsia="仿宋_GB2312" w:cs="Times New Roman"/>
              <w:color w:val="000000"/>
              <w:kern w:val="0"/>
              <w:sz w:val="31"/>
              <w:szCs w:val="31"/>
              <w:lang w:val="en-US" w:eastAsia="zh-CN" w:bidi="ar"/>
            </w:rPr>
            <w:fldChar w:fldCharType="begin"/>
          </w:r>
          <w:r>
            <w:rPr>
              <w:rFonts w:hint="default" w:ascii="Times New Roman" w:hAnsi="Times New Roman" w:eastAsia="仿宋_GB2312" w:cs="Times New Roman"/>
              <w:color w:val="000000"/>
              <w:kern w:val="0"/>
              <w:sz w:val="31"/>
              <w:szCs w:val="31"/>
              <w:lang w:val="en-US" w:eastAsia="zh-CN" w:bidi="ar"/>
            </w:rPr>
            <w:instrText xml:space="preserve"> PAGEREF _Toc27493 \h </w:instrText>
          </w:r>
          <w:r>
            <w:rPr>
              <w:rFonts w:hint="default" w:ascii="Times New Roman" w:hAnsi="Times New Roman" w:eastAsia="仿宋_GB2312" w:cs="Times New Roman"/>
              <w:color w:val="000000"/>
              <w:kern w:val="0"/>
              <w:sz w:val="31"/>
              <w:szCs w:val="31"/>
              <w:lang w:val="en-US" w:eastAsia="zh-CN" w:bidi="ar"/>
            </w:rPr>
            <w:fldChar w:fldCharType="separate"/>
          </w:r>
          <w:r>
            <w:rPr>
              <w:rFonts w:hint="default" w:ascii="Times New Roman" w:hAnsi="Times New Roman" w:eastAsia="仿宋_GB2312" w:cs="Times New Roman"/>
              <w:color w:val="000000"/>
              <w:kern w:val="0"/>
              <w:sz w:val="31"/>
              <w:szCs w:val="31"/>
              <w:lang w:val="en-US" w:eastAsia="zh-CN" w:bidi="ar"/>
            </w:rPr>
            <w:t>13</w:t>
          </w:r>
          <w:r>
            <w:rPr>
              <w:rFonts w:hint="default" w:ascii="Times New Roman" w:hAnsi="Times New Roman" w:eastAsia="仿宋_GB2312" w:cs="Times New Roman"/>
              <w:color w:val="000000"/>
              <w:kern w:val="0"/>
              <w:sz w:val="31"/>
              <w:szCs w:val="31"/>
              <w:lang w:val="en-US" w:eastAsia="zh-CN" w:bidi="ar"/>
            </w:rPr>
            <w:fldChar w:fldCharType="end"/>
          </w:r>
          <w:r>
            <w:rPr>
              <w:rFonts w:hint="default" w:ascii="Times New Roman" w:hAnsi="Times New Roman" w:eastAsia="仿宋_GB2312" w:cs="Times New Roman"/>
              <w:color w:val="000000"/>
              <w:kern w:val="0"/>
              <w:sz w:val="31"/>
              <w:szCs w:val="31"/>
              <w:lang w:val="en-US" w:eastAsia="zh-CN" w:bidi="ar"/>
            </w:rPr>
            <w:fldChar w:fldCharType="end"/>
          </w:r>
        </w:p>
        <w:p w14:paraId="5A92BED9">
          <w:pPr>
            <w:pStyle w:val="13"/>
            <w:tabs>
              <w:tab w:val="right" w:leader="dot" w:pos="8306"/>
              <w:tab w:val="clear" w:pos="8296"/>
            </w:tabs>
            <w:rPr>
              <w:rFonts w:hint="default" w:ascii="Times New Roman" w:hAnsi="Times New Roman" w:eastAsia="黑体" w:cs="Times New Roman"/>
              <w:color w:val="000000"/>
              <w:kern w:val="0"/>
              <w:sz w:val="31"/>
              <w:szCs w:val="31"/>
              <w:lang w:val="en-US" w:eastAsia="zh-CN" w:bidi="ar"/>
            </w:rPr>
          </w:pPr>
          <w:r>
            <w:rPr>
              <w:rFonts w:hint="default" w:ascii="Times New Roman" w:hAnsi="Times New Roman" w:eastAsia="黑体" w:cs="Times New Roman"/>
              <w:color w:val="000000"/>
              <w:kern w:val="0"/>
              <w:sz w:val="31"/>
              <w:szCs w:val="31"/>
              <w:lang w:val="en-US" w:eastAsia="zh-CN" w:bidi="ar"/>
            </w:rPr>
            <w:fldChar w:fldCharType="begin"/>
          </w:r>
          <w:r>
            <w:rPr>
              <w:rFonts w:hint="default" w:ascii="Times New Roman" w:hAnsi="Times New Roman" w:eastAsia="黑体" w:cs="Times New Roman"/>
              <w:color w:val="000000"/>
              <w:kern w:val="0"/>
              <w:sz w:val="31"/>
              <w:szCs w:val="31"/>
              <w:lang w:val="en-US" w:eastAsia="zh-CN" w:bidi="ar"/>
            </w:rPr>
            <w:instrText xml:space="preserve"> HYPERLINK \l _Toc24711 </w:instrText>
          </w:r>
          <w:r>
            <w:rPr>
              <w:rFonts w:hint="default" w:ascii="Times New Roman" w:hAnsi="Times New Roman" w:eastAsia="黑体" w:cs="Times New Roman"/>
              <w:color w:val="000000"/>
              <w:kern w:val="0"/>
              <w:sz w:val="31"/>
              <w:szCs w:val="31"/>
              <w:lang w:val="en-US" w:eastAsia="zh-CN" w:bidi="ar"/>
            </w:rPr>
            <w:fldChar w:fldCharType="separate"/>
          </w:r>
          <w:r>
            <w:rPr>
              <w:rFonts w:hint="default" w:ascii="Times New Roman" w:hAnsi="Times New Roman" w:eastAsia="黑体" w:cs="Times New Roman"/>
              <w:color w:val="000000"/>
              <w:kern w:val="0"/>
              <w:sz w:val="31"/>
              <w:szCs w:val="31"/>
              <w:lang w:val="en-US" w:eastAsia="zh-CN" w:bidi="ar"/>
            </w:rPr>
            <w:t>第三部分  名词解释</w:t>
          </w:r>
          <w:r>
            <w:rPr>
              <w:rFonts w:hint="default" w:ascii="Times New Roman" w:hAnsi="Times New Roman" w:eastAsia="黑体" w:cs="Times New Roman"/>
              <w:color w:val="000000"/>
              <w:kern w:val="0"/>
              <w:sz w:val="31"/>
              <w:szCs w:val="31"/>
              <w:lang w:val="en-US" w:eastAsia="zh-CN" w:bidi="ar"/>
            </w:rPr>
            <w:tab/>
          </w:r>
          <w:r>
            <w:rPr>
              <w:rFonts w:hint="default" w:ascii="Times New Roman" w:hAnsi="Times New Roman" w:eastAsia="黑体" w:cs="Times New Roman"/>
              <w:color w:val="000000"/>
              <w:kern w:val="0"/>
              <w:sz w:val="31"/>
              <w:szCs w:val="31"/>
              <w:lang w:val="en-US" w:eastAsia="zh-CN" w:bidi="ar"/>
            </w:rPr>
            <w:fldChar w:fldCharType="begin"/>
          </w:r>
          <w:r>
            <w:rPr>
              <w:rFonts w:hint="default" w:ascii="Times New Roman" w:hAnsi="Times New Roman" w:eastAsia="黑体" w:cs="Times New Roman"/>
              <w:color w:val="000000"/>
              <w:kern w:val="0"/>
              <w:sz w:val="31"/>
              <w:szCs w:val="31"/>
              <w:lang w:val="en-US" w:eastAsia="zh-CN" w:bidi="ar"/>
            </w:rPr>
            <w:instrText xml:space="preserve"> PAGEREF _Toc24711 \h </w:instrText>
          </w:r>
          <w:r>
            <w:rPr>
              <w:rFonts w:hint="default" w:ascii="Times New Roman" w:hAnsi="Times New Roman" w:eastAsia="黑体" w:cs="Times New Roman"/>
              <w:color w:val="000000"/>
              <w:kern w:val="0"/>
              <w:sz w:val="31"/>
              <w:szCs w:val="31"/>
              <w:lang w:val="en-US" w:eastAsia="zh-CN" w:bidi="ar"/>
            </w:rPr>
            <w:fldChar w:fldCharType="separate"/>
          </w:r>
          <w:r>
            <w:rPr>
              <w:rFonts w:hint="default" w:ascii="Times New Roman" w:hAnsi="Times New Roman" w:eastAsia="黑体" w:cs="Times New Roman"/>
              <w:color w:val="000000"/>
              <w:kern w:val="0"/>
              <w:sz w:val="31"/>
              <w:szCs w:val="31"/>
              <w:lang w:val="en-US" w:eastAsia="zh-CN" w:bidi="ar"/>
            </w:rPr>
            <w:t>16</w:t>
          </w:r>
          <w:r>
            <w:rPr>
              <w:rFonts w:hint="default" w:ascii="Times New Roman" w:hAnsi="Times New Roman" w:eastAsia="黑体" w:cs="Times New Roman"/>
              <w:color w:val="000000"/>
              <w:kern w:val="0"/>
              <w:sz w:val="31"/>
              <w:szCs w:val="31"/>
              <w:lang w:val="en-US" w:eastAsia="zh-CN" w:bidi="ar"/>
            </w:rPr>
            <w:fldChar w:fldCharType="end"/>
          </w:r>
          <w:r>
            <w:rPr>
              <w:rFonts w:hint="default" w:ascii="Times New Roman" w:hAnsi="Times New Roman" w:eastAsia="黑体" w:cs="Times New Roman"/>
              <w:color w:val="000000"/>
              <w:kern w:val="0"/>
              <w:sz w:val="31"/>
              <w:szCs w:val="31"/>
              <w:lang w:val="en-US" w:eastAsia="zh-CN" w:bidi="ar"/>
            </w:rPr>
            <w:fldChar w:fldCharType="end"/>
          </w:r>
        </w:p>
        <w:p w14:paraId="330C357C">
          <w:pPr>
            <w:pStyle w:val="14"/>
            <w:bidi w:val="0"/>
            <w:ind w:left="0" w:leftChars="0" w:firstLine="0" w:firstLineChars="0"/>
            <w:jc w:val="left"/>
            <w:rPr>
              <w:rFonts w:hint="default" w:ascii="Times New Roman" w:hAnsi="Times New Roman" w:eastAsia="黑体" w:cs="Times New Roman"/>
              <w:color w:val="000000"/>
              <w:kern w:val="0"/>
              <w:sz w:val="31"/>
              <w:szCs w:val="31"/>
              <w:lang w:val="en-US" w:eastAsia="zh-CN" w:bidi="ar"/>
            </w:rPr>
          </w:pPr>
          <w:r>
            <w:rPr>
              <w:rFonts w:hint="default" w:ascii="Times New Roman" w:hAnsi="Times New Roman" w:eastAsia="黑体" w:cs="Times New Roman"/>
              <w:color w:val="000000"/>
              <w:kern w:val="0"/>
              <w:sz w:val="31"/>
              <w:szCs w:val="31"/>
              <w:lang w:val="en-US" w:eastAsia="zh-CN" w:bidi="ar"/>
            </w:rPr>
            <w:t>第</w:t>
          </w:r>
          <w:r>
            <w:rPr>
              <w:rFonts w:hint="default" w:ascii="Times New Roman" w:hAnsi="Times New Roman" w:eastAsia="黑体" w:cs="Times New Roman"/>
              <w:color w:val="000000"/>
              <w:kern w:val="0"/>
              <w:sz w:val="31"/>
              <w:szCs w:val="31"/>
              <w:lang w:val="en-US" w:eastAsia="zh-CN" w:bidi="ar"/>
            </w:rPr>
            <w:fldChar w:fldCharType="end"/>
          </w:r>
          <w:r>
            <w:rPr>
              <w:rFonts w:hint="default" w:ascii="Times New Roman" w:hAnsi="Times New Roman" w:eastAsia="黑体" w:cs="Times New Roman"/>
              <w:color w:val="000000"/>
              <w:kern w:val="0"/>
              <w:sz w:val="31"/>
              <w:szCs w:val="31"/>
              <w:lang w:val="en-US" w:eastAsia="zh-CN" w:bidi="ar"/>
            </w:rPr>
            <w:t>四部分</w:t>
          </w:r>
          <w:r>
            <w:rPr>
              <w:rFonts w:hint="eastAsia" w:eastAsia="黑体" w:cs="Times New Roman"/>
              <w:color w:val="000000"/>
              <w:kern w:val="0"/>
              <w:sz w:val="31"/>
              <w:szCs w:val="31"/>
              <w:lang w:val="en-US" w:eastAsia="zh-CN" w:bidi="ar"/>
            </w:rPr>
            <w:t xml:space="preserve"> </w:t>
          </w:r>
          <w:r>
            <w:rPr>
              <w:rFonts w:hint="default" w:ascii="Times New Roman" w:hAnsi="Times New Roman" w:eastAsia="黑体" w:cs="Times New Roman"/>
              <w:color w:val="000000"/>
              <w:kern w:val="0"/>
              <w:sz w:val="31"/>
              <w:szCs w:val="31"/>
              <w:lang w:val="en-US" w:eastAsia="zh-CN" w:bidi="ar"/>
            </w:rPr>
            <w:t xml:space="preserve"> </w:t>
          </w:r>
          <w:r>
            <w:rPr>
              <w:rFonts w:hint="eastAsia" w:ascii="Times New Roman" w:hAnsi="Times New Roman" w:eastAsia="黑体" w:cs="Times New Roman"/>
              <w:color w:val="000000"/>
              <w:kern w:val="0"/>
              <w:sz w:val="31"/>
              <w:szCs w:val="31"/>
              <w:lang w:val="en-US" w:eastAsia="zh-CN" w:bidi="ar"/>
            </w:rPr>
            <w:t>附件</w:t>
          </w:r>
          <w:r>
            <w:rPr>
              <w:rFonts w:hint="default" w:ascii="Times New Roman" w:hAnsi="Times New Roman" w:eastAsia="黑体" w:cs="Times New Roman"/>
              <w:color w:val="000000"/>
              <w:kern w:val="0"/>
              <w:sz w:val="31"/>
              <w:szCs w:val="31"/>
              <w:lang w:val="en-US" w:eastAsia="zh-CN" w:bidi="ar"/>
            </w:rPr>
            <w:t>............................</w:t>
          </w:r>
          <w:r>
            <w:rPr>
              <w:rFonts w:hint="eastAsia" w:eastAsia="黑体" w:cs="Times New Roman"/>
              <w:color w:val="000000"/>
              <w:kern w:val="0"/>
              <w:sz w:val="31"/>
              <w:szCs w:val="31"/>
              <w:lang w:val="en-US" w:eastAsia="zh-CN" w:bidi="ar"/>
            </w:rPr>
            <w:t>....</w:t>
          </w:r>
          <w:r>
            <w:rPr>
              <w:rFonts w:hint="default" w:ascii="Times New Roman" w:hAnsi="Times New Roman" w:eastAsia="黑体" w:cs="Times New Roman"/>
              <w:color w:val="000000"/>
              <w:kern w:val="0"/>
              <w:sz w:val="31"/>
              <w:szCs w:val="31"/>
              <w:lang w:val="en-US" w:eastAsia="zh-CN" w:bidi="ar"/>
            </w:rPr>
            <w:t>...........................................</w:t>
          </w:r>
          <w:r>
            <w:rPr>
              <w:rFonts w:hint="eastAsia" w:ascii="Times New Roman" w:hAnsi="Times New Roman" w:eastAsia="黑体" w:cs="Times New Roman"/>
              <w:color w:val="000000"/>
              <w:kern w:val="0"/>
              <w:sz w:val="31"/>
              <w:szCs w:val="31"/>
              <w:lang w:val="en-US" w:eastAsia="zh-CN" w:bidi="ar"/>
            </w:rPr>
            <w:t>2</w:t>
          </w:r>
          <w:r>
            <w:rPr>
              <w:rFonts w:hint="eastAsia" w:eastAsia="黑体" w:cs="Times New Roman"/>
              <w:color w:val="000000"/>
              <w:kern w:val="0"/>
              <w:sz w:val="31"/>
              <w:szCs w:val="31"/>
              <w:lang w:val="en-US" w:eastAsia="zh-CN" w:bidi="ar"/>
            </w:rPr>
            <w:t>2</w:t>
          </w:r>
        </w:p>
        <w:p w14:paraId="140D3569">
          <w:pPr>
            <w:keepNext w:val="0"/>
            <w:keepLines w:val="0"/>
            <w:widowControl/>
            <w:suppressLineNumbers w:val="0"/>
            <w:ind w:firstLine="310" w:firstLineChars="10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 xml:space="preserve">附件 </w:t>
          </w:r>
          <w:r>
            <w:rPr>
              <w:rFonts w:hint="default" w:ascii="Times New Roman" w:hAnsi="Times New Roman" w:eastAsia="宋体" w:cs="Times New Roman"/>
              <w:color w:val="000000"/>
              <w:kern w:val="0"/>
              <w:sz w:val="31"/>
              <w:szCs w:val="31"/>
              <w:lang w:val="en-US" w:eastAsia="zh-CN" w:bidi="ar"/>
            </w:rPr>
            <w:t xml:space="preserve">1 </w:t>
          </w:r>
          <w:r>
            <w:rPr>
              <w:rFonts w:hint="default" w:ascii="Times New Roman" w:hAnsi="Times New Roman" w:eastAsia="仿宋_GB2312" w:cs="Times New Roman"/>
              <w:color w:val="000000"/>
              <w:kern w:val="0"/>
              <w:sz w:val="31"/>
              <w:szCs w:val="31"/>
              <w:lang w:val="en-US" w:eastAsia="zh-CN" w:bidi="ar"/>
            </w:rPr>
            <w:t>部门预算绩效评价报告</w:t>
          </w:r>
          <w:r>
            <w:rPr>
              <w:rFonts w:hint="default" w:ascii="Times New Roman" w:hAnsi="Times New Roman" w:eastAsia="宋体" w:cs="Times New Roman"/>
              <w:color w:val="000000"/>
              <w:kern w:val="0"/>
              <w:sz w:val="31"/>
              <w:szCs w:val="31"/>
              <w:lang w:val="en-US" w:eastAsia="zh-CN" w:bidi="ar"/>
            </w:rPr>
            <w:t>............................................ 2</w:t>
          </w:r>
          <w:r>
            <w:rPr>
              <w:rFonts w:hint="eastAsia" w:cs="Times New Roman"/>
              <w:color w:val="000000"/>
              <w:kern w:val="0"/>
              <w:sz w:val="31"/>
              <w:szCs w:val="31"/>
              <w:lang w:val="en-US" w:eastAsia="zh-CN" w:bidi="ar"/>
            </w:rPr>
            <w:t>2</w:t>
          </w:r>
          <w:r>
            <w:rPr>
              <w:rFonts w:hint="default" w:ascii="Times New Roman" w:hAnsi="Times New Roman" w:eastAsia="宋体" w:cs="Times New Roman"/>
              <w:color w:val="000000"/>
              <w:kern w:val="0"/>
              <w:sz w:val="31"/>
              <w:szCs w:val="31"/>
              <w:lang w:val="en-US" w:eastAsia="zh-CN" w:bidi="ar"/>
            </w:rPr>
            <w:t xml:space="preserve"> </w:t>
          </w:r>
        </w:p>
        <w:p w14:paraId="1F5D0644">
          <w:pPr>
            <w:keepNext w:val="0"/>
            <w:keepLines w:val="0"/>
            <w:widowControl/>
            <w:suppressLineNumbers w:val="0"/>
            <w:ind w:firstLine="310" w:firstLineChars="100"/>
            <w:jc w:val="left"/>
            <w:rPr>
              <w:rFonts w:hint="default" w:ascii="Times New Roman" w:hAnsi="Times New Roman" w:cs="Times New Roman"/>
              <w:lang w:val="en-US"/>
            </w:rPr>
          </w:pPr>
          <w:r>
            <w:rPr>
              <w:rFonts w:hint="default" w:ascii="Times New Roman" w:hAnsi="Times New Roman" w:eastAsia="仿宋_GB2312" w:cs="Times New Roman"/>
              <w:color w:val="000000"/>
              <w:kern w:val="0"/>
              <w:sz w:val="31"/>
              <w:szCs w:val="31"/>
              <w:lang w:val="en-US" w:eastAsia="zh-CN" w:bidi="ar"/>
            </w:rPr>
            <w:t xml:space="preserve">附件 </w:t>
          </w:r>
          <w:r>
            <w:rPr>
              <w:rFonts w:hint="default" w:ascii="Times New Roman" w:hAnsi="Times New Roman" w:eastAsia="宋体" w:cs="Times New Roman"/>
              <w:color w:val="000000"/>
              <w:kern w:val="0"/>
              <w:sz w:val="31"/>
              <w:szCs w:val="31"/>
              <w:lang w:val="en-US" w:eastAsia="zh-CN" w:bidi="ar"/>
            </w:rPr>
            <w:t xml:space="preserve">2 </w:t>
          </w:r>
          <w:r>
            <w:rPr>
              <w:rFonts w:hint="default" w:ascii="Times New Roman" w:hAnsi="Times New Roman" w:eastAsia="仿宋_GB2312" w:cs="Times New Roman"/>
              <w:color w:val="000000"/>
              <w:kern w:val="0"/>
              <w:sz w:val="31"/>
              <w:szCs w:val="31"/>
              <w:lang w:val="en-US" w:eastAsia="zh-CN" w:bidi="ar"/>
            </w:rPr>
            <w:t>专项预算项目绩效自评报告</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32</w:t>
          </w:r>
        </w:p>
        <w:p w14:paraId="64C49BC8">
          <w:pPr>
            <w:keepNext w:val="0"/>
            <w:keepLines w:val="0"/>
            <w:widowControl/>
            <w:suppressLineNumbers w:val="0"/>
            <w:jc w:val="left"/>
            <w:rPr>
              <w:rFonts w:hint="default" w:ascii="Times New Roman" w:hAnsi="Times New Roman" w:cs="Times New Roman"/>
              <w:lang w:val="en-US"/>
            </w:rPr>
          </w:pPr>
          <w:r>
            <w:rPr>
              <w:rFonts w:hint="default" w:ascii="Times New Roman" w:hAnsi="Times New Roman" w:eastAsia="黑体" w:cs="Times New Roman"/>
              <w:color w:val="000000"/>
              <w:kern w:val="0"/>
              <w:sz w:val="31"/>
              <w:szCs w:val="31"/>
              <w:lang w:val="en-US" w:eastAsia="zh-CN" w:bidi="ar"/>
            </w:rPr>
            <w:t>第五部分 附表</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p>
        <w:p w14:paraId="0B4AFD5C">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一、收入支出决算总表</w:t>
          </w:r>
          <w:r>
            <w:rPr>
              <w:rFonts w:hint="default" w:ascii="Times New Roman" w:hAnsi="Times New Roman" w:eastAsia="宋体" w:cs="Times New Roman"/>
              <w:color w:val="000000"/>
              <w:kern w:val="0"/>
              <w:sz w:val="31"/>
              <w:szCs w:val="31"/>
              <w:lang w:val="en-US" w:eastAsia="zh-CN" w:bidi="ar"/>
            </w:rPr>
            <w:t xml:space="preserve">............................................................40 </w:t>
          </w:r>
        </w:p>
        <w:p w14:paraId="237CCCF3">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二、收入决算表</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r>
            <w:rPr>
              <w:rFonts w:hint="default" w:ascii="Times New Roman" w:hAnsi="Times New Roman" w:eastAsia="宋体" w:cs="Times New Roman"/>
              <w:color w:val="000000"/>
              <w:kern w:val="0"/>
              <w:sz w:val="31"/>
              <w:szCs w:val="31"/>
              <w:lang w:val="en-US" w:eastAsia="zh-CN" w:bidi="ar"/>
            </w:rPr>
            <w:t xml:space="preserve"> </w:t>
          </w:r>
        </w:p>
        <w:p w14:paraId="47C10801">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三、支出决算表</w:t>
          </w:r>
          <w:r>
            <w:rPr>
              <w:rFonts w:hint="default"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p>
        <w:p w14:paraId="42C9DAC6">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四、财政拨款收入支出决算总表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r>
            <w:rPr>
              <w:rFonts w:hint="default" w:ascii="Times New Roman" w:hAnsi="Times New Roman" w:eastAsia="宋体" w:cs="Times New Roman"/>
              <w:color w:val="000000"/>
              <w:kern w:val="0"/>
              <w:sz w:val="31"/>
              <w:szCs w:val="31"/>
              <w:lang w:val="en-US" w:eastAsia="zh-CN" w:bidi="ar"/>
            </w:rPr>
            <w:t xml:space="preserve"> </w:t>
          </w:r>
        </w:p>
        <w:p w14:paraId="74B1D721">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五、财政拨款支出决算明细表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r>
            <w:rPr>
              <w:rFonts w:hint="default" w:ascii="Times New Roman" w:hAnsi="Times New Roman" w:eastAsia="宋体" w:cs="Times New Roman"/>
              <w:color w:val="000000"/>
              <w:kern w:val="0"/>
              <w:sz w:val="31"/>
              <w:szCs w:val="31"/>
              <w:lang w:val="en-US" w:eastAsia="zh-CN" w:bidi="ar"/>
            </w:rPr>
            <w:t xml:space="preserve"> </w:t>
          </w:r>
        </w:p>
        <w:p w14:paraId="63D6DD3D">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六、一般公共预算财政拨款支出决算表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r>
            <w:rPr>
              <w:rFonts w:hint="default" w:ascii="Times New Roman" w:hAnsi="Times New Roman" w:eastAsia="宋体" w:cs="Times New Roman"/>
              <w:color w:val="000000"/>
              <w:kern w:val="0"/>
              <w:sz w:val="31"/>
              <w:szCs w:val="31"/>
              <w:lang w:val="en-US" w:eastAsia="zh-CN" w:bidi="ar"/>
            </w:rPr>
            <w:t xml:space="preserve"> </w:t>
          </w:r>
        </w:p>
        <w:p w14:paraId="57C8E1E5">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七、一般公共预算财政拨款支出决算明细表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r>
            <w:rPr>
              <w:rFonts w:hint="default" w:ascii="Times New Roman" w:hAnsi="Times New Roman" w:eastAsia="宋体" w:cs="Times New Roman"/>
              <w:color w:val="000000"/>
              <w:kern w:val="0"/>
              <w:sz w:val="31"/>
              <w:szCs w:val="31"/>
              <w:lang w:val="en-US" w:eastAsia="zh-CN" w:bidi="ar"/>
            </w:rPr>
            <w:t xml:space="preserve"> </w:t>
          </w:r>
        </w:p>
        <w:p w14:paraId="06445AE0">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八、一般公共预算财政拨款基本支出决算表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r>
            <w:rPr>
              <w:rFonts w:hint="default" w:ascii="Times New Roman" w:hAnsi="Times New Roman" w:eastAsia="宋体" w:cs="Times New Roman"/>
              <w:color w:val="000000"/>
              <w:kern w:val="0"/>
              <w:sz w:val="31"/>
              <w:szCs w:val="31"/>
              <w:lang w:val="en-US" w:eastAsia="zh-CN" w:bidi="ar"/>
            </w:rPr>
            <w:t xml:space="preserve"> </w:t>
          </w:r>
        </w:p>
        <w:p w14:paraId="3D82C5D8">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九、一般公共预算财政拨款项目支出决算表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r>
            <w:rPr>
              <w:rFonts w:hint="default" w:ascii="Times New Roman" w:hAnsi="Times New Roman" w:eastAsia="宋体" w:cs="Times New Roman"/>
              <w:color w:val="000000"/>
              <w:kern w:val="0"/>
              <w:sz w:val="31"/>
              <w:szCs w:val="31"/>
              <w:lang w:val="en-US" w:eastAsia="zh-CN" w:bidi="ar"/>
            </w:rPr>
            <w:t xml:space="preserve"> </w:t>
          </w:r>
        </w:p>
        <w:p w14:paraId="592BA109">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十、政府性基金预算财政拨款收入支出决算表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r>
            <w:rPr>
              <w:rFonts w:hint="default" w:ascii="Times New Roman" w:hAnsi="Times New Roman" w:eastAsia="宋体" w:cs="Times New Roman"/>
              <w:color w:val="000000"/>
              <w:kern w:val="0"/>
              <w:sz w:val="31"/>
              <w:szCs w:val="31"/>
              <w:lang w:val="en-US" w:eastAsia="zh-CN" w:bidi="ar"/>
            </w:rPr>
            <w:t xml:space="preserve"> </w:t>
          </w:r>
        </w:p>
        <w:p w14:paraId="125423D8">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十一、国有资本经营预算财政拨款收入支出决算表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r>
            <w:rPr>
              <w:rFonts w:hint="default" w:ascii="Times New Roman" w:hAnsi="Times New Roman" w:eastAsia="宋体" w:cs="Times New Roman"/>
              <w:color w:val="000000"/>
              <w:kern w:val="0"/>
              <w:sz w:val="31"/>
              <w:szCs w:val="31"/>
              <w:lang w:val="en-US" w:eastAsia="zh-CN" w:bidi="ar"/>
            </w:rPr>
            <w:t xml:space="preserve"> </w:t>
          </w:r>
        </w:p>
        <w:p w14:paraId="31FECE05">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十二、国有资本经营预算财政拨款支出决算表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r>
            <w:rPr>
              <w:rFonts w:hint="default" w:ascii="Times New Roman" w:hAnsi="Times New Roman" w:eastAsia="宋体" w:cs="Times New Roman"/>
              <w:color w:val="000000"/>
              <w:kern w:val="0"/>
              <w:sz w:val="31"/>
              <w:szCs w:val="31"/>
              <w:lang w:val="en-US" w:eastAsia="zh-CN" w:bidi="ar"/>
            </w:rPr>
            <w:t xml:space="preserve"> </w:t>
          </w:r>
        </w:p>
        <w:p w14:paraId="038C8895">
          <w:pPr>
            <w:keepNext w:val="0"/>
            <w:keepLines w:val="0"/>
            <w:widowControl/>
            <w:suppressLineNumbers w:val="0"/>
            <w:jc w:val="left"/>
            <w:rPr>
              <w:rFonts w:hint="default" w:ascii="Times New Roman" w:hAnsi="Times New Roman" w:cs="Times New Roman"/>
            </w:rPr>
          </w:pPr>
          <w:r>
            <w:rPr>
              <w:rFonts w:hint="default" w:ascii="Times New Roman" w:hAnsi="Times New Roman" w:eastAsia="仿宋_GB2312" w:cs="Times New Roman"/>
              <w:color w:val="000000"/>
              <w:kern w:val="0"/>
              <w:sz w:val="31"/>
              <w:szCs w:val="31"/>
              <w:lang w:val="en-US" w:eastAsia="zh-CN" w:bidi="ar"/>
            </w:rPr>
            <w:t>十三、财政拨款“三公”经费支出决算表</w:t>
          </w:r>
          <w:r>
            <w:rPr>
              <w:rFonts w:hint="default" w:ascii="Times New Roman" w:hAnsi="Times New Roman" w:eastAsia="宋体" w:cs="Times New Roman"/>
              <w:color w:val="000000"/>
              <w:kern w:val="0"/>
              <w:sz w:val="31"/>
              <w:szCs w:val="31"/>
              <w:lang w:val="en-US" w:eastAsia="zh-CN" w:bidi="ar"/>
            </w:rPr>
            <w:t>...............................</w:t>
          </w:r>
          <w:r>
            <w:rPr>
              <w:rFonts w:hint="eastAsia" w:ascii="Times New Roman" w:hAnsi="Times New Roman" w:eastAsia="宋体" w:cs="Times New Roman"/>
              <w:color w:val="000000"/>
              <w:kern w:val="0"/>
              <w:sz w:val="31"/>
              <w:szCs w:val="31"/>
              <w:lang w:val="en-US" w:eastAsia="zh-CN" w:bidi="ar"/>
            </w:rPr>
            <w:t>.</w:t>
          </w:r>
          <w:r>
            <w:rPr>
              <w:rFonts w:hint="eastAsia" w:cs="Times New Roman"/>
              <w:color w:val="000000"/>
              <w:kern w:val="0"/>
              <w:sz w:val="31"/>
              <w:szCs w:val="31"/>
              <w:lang w:val="en-US" w:eastAsia="zh-CN" w:bidi="ar"/>
            </w:rPr>
            <w:t>40</w:t>
          </w:r>
        </w:p>
        <w:p w14:paraId="256A230E"/>
      </w:sdtContent>
    </w:sdt>
    <w:p w14:paraId="52DE885E"/>
    <w:p w14:paraId="2BD148BC">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112B7593">
      <w:pPr>
        <w:pStyle w:val="5"/>
        <w:jc w:val="center"/>
        <w:rPr>
          <w:rStyle w:val="29"/>
          <w:rFonts w:hint="eastAsia" w:ascii="Times New Roman" w:hAnsi="Times New Roman" w:eastAsia="方正小标宋简体" w:cs="方正小标宋简体"/>
          <w:b/>
          <w:bCs w:val="0"/>
          <w:color w:val="auto"/>
          <w:highlight w:val="none"/>
        </w:rPr>
      </w:pPr>
      <w:bookmarkStart w:id="8" w:name="_Toc8964"/>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bookmarkEnd w:id="8"/>
    </w:p>
    <w:p w14:paraId="628E1E1A">
      <w:pPr>
        <w:widowControl/>
        <w:jc w:val="left"/>
        <w:rPr>
          <w:rFonts w:ascii="Times New Roman" w:hAnsi="Times New Roman" w:eastAsia="黑体"/>
          <w:color w:val="auto"/>
          <w:sz w:val="32"/>
          <w:szCs w:val="32"/>
          <w:highlight w:val="none"/>
        </w:rPr>
      </w:pPr>
    </w:p>
    <w:p w14:paraId="04E9BAEA">
      <w:pPr>
        <w:pStyle w:val="6"/>
        <w:keepNext/>
        <w:keepLines/>
        <w:pageBreakBefore w:val="0"/>
        <w:widowControl w:val="0"/>
        <w:numPr>
          <w:ilvl w:val="0"/>
          <w:numId w:val="1"/>
        </w:numPr>
        <w:kinsoku/>
        <w:wordWrap/>
        <w:overflowPunct/>
        <w:topLinePunct w:val="0"/>
        <w:autoSpaceDE/>
        <w:autoSpaceDN/>
        <w:bidi w:val="0"/>
        <w:adjustRightInd/>
        <w:snapToGrid/>
        <w:spacing w:line="416" w:lineRule="auto"/>
        <w:ind w:firstLine="640" w:firstLineChars="200"/>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val="en-US" w:eastAsia="zh-CN"/>
        </w:rPr>
        <w:t xml:space="preserve"> </w:t>
      </w:r>
      <w:bookmarkStart w:id="9" w:name="_Toc22751"/>
      <w:r>
        <w:rPr>
          <w:rFonts w:hint="eastAsia" w:ascii="Times New Roman" w:hAnsi="Times New Roman" w:eastAsia="黑体"/>
          <w:b w:val="0"/>
          <w:color w:val="auto"/>
          <w:highlight w:val="none"/>
          <w:lang w:eastAsia="zh-CN"/>
        </w:rPr>
        <w:t>部门职责</w:t>
      </w:r>
      <w:bookmarkEnd w:id="9"/>
    </w:p>
    <w:p w14:paraId="27DF96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贯彻落实党的路线方针政策和国家法律法规以及上级党委、政府的决议、决定和命令，执行</w:t>
      </w:r>
      <w:r>
        <w:rPr>
          <w:rFonts w:hint="eastAsia" w:eastAsia="仿宋_GB2312" w:cs="仿宋_GB2312"/>
          <w:color w:val="auto"/>
          <w:kern w:val="2"/>
          <w:sz w:val="32"/>
          <w:szCs w:val="32"/>
          <w:highlight w:val="none"/>
          <w:lang w:val="en-US" w:eastAsia="zh-CN" w:bidi="ar-SA"/>
        </w:rPr>
        <w:t>乡</w:t>
      </w:r>
      <w:r>
        <w:rPr>
          <w:rFonts w:hint="eastAsia" w:ascii="Times New Roman" w:hAnsi="Times New Roman" w:eastAsia="仿宋_GB2312" w:cs="仿宋_GB2312"/>
          <w:color w:val="auto"/>
          <w:kern w:val="2"/>
          <w:sz w:val="32"/>
          <w:szCs w:val="32"/>
          <w:highlight w:val="none"/>
          <w:lang w:val="en-US" w:eastAsia="zh-CN" w:bidi="ar-SA"/>
        </w:rPr>
        <w:t>党委和</w:t>
      </w:r>
      <w:r>
        <w:rPr>
          <w:rFonts w:hint="eastAsia" w:eastAsia="仿宋_GB2312" w:cs="仿宋_GB2312"/>
          <w:color w:val="auto"/>
          <w:kern w:val="2"/>
          <w:sz w:val="32"/>
          <w:szCs w:val="32"/>
          <w:highlight w:val="none"/>
          <w:lang w:val="en-US" w:eastAsia="zh-CN" w:bidi="ar-SA"/>
        </w:rPr>
        <w:t>乡</w:t>
      </w:r>
      <w:r>
        <w:rPr>
          <w:rFonts w:hint="eastAsia" w:ascii="Times New Roman" w:hAnsi="Times New Roman" w:eastAsia="仿宋_GB2312" w:cs="仿宋_GB2312"/>
          <w:color w:val="auto"/>
          <w:kern w:val="2"/>
          <w:sz w:val="32"/>
          <w:szCs w:val="32"/>
          <w:highlight w:val="none"/>
          <w:lang w:val="en-US" w:eastAsia="zh-CN" w:bidi="ar-SA"/>
        </w:rPr>
        <w:t>人民代表大会的决议，加强农村基层政权建设，巩固党在农村的执政基础。</w:t>
      </w:r>
    </w:p>
    <w:p w14:paraId="5517BD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组织编制本行政区域经济社会发展规划和</w:t>
      </w:r>
      <w:r>
        <w:rPr>
          <w:rFonts w:hint="eastAsia" w:eastAsia="仿宋_GB2312" w:cs="仿宋_GB2312"/>
          <w:color w:val="auto"/>
          <w:kern w:val="2"/>
          <w:sz w:val="32"/>
          <w:szCs w:val="32"/>
          <w:highlight w:val="none"/>
          <w:lang w:val="en-US" w:eastAsia="zh-CN" w:bidi="ar-SA"/>
        </w:rPr>
        <w:t>乡</w:t>
      </w:r>
      <w:r>
        <w:rPr>
          <w:rFonts w:hint="eastAsia" w:ascii="Times New Roman" w:hAnsi="Times New Roman" w:eastAsia="仿宋_GB2312" w:cs="仿宋_GB2312"/>
          <w:color w:val="auto"/>
          <w:kern w:val="2"/>
          <w:sz w:val="32"/>
          <w:szCs w:val="32"/>
          <w:highlight w:val="none"/>
          <w:lang w:val="en-US" w:eastAsia="zh-CN" w:bidi="ar-SA"/>
        </w:rPr>
        <w:t>国土空间规划。负责农村基础设施和各项公益事业建设，推进脱贫攻坚，实施乡村振兴战略，加快经济社会发展，改善群众生产生活环境。</w:t>
      </w:r>
    </w:p>
    <w:p w14:paraId="1A4E20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3.指导农村经济发展，推进农业经济结构调整，促进经济增长、农业增效、农民增收。</w:t>
      </w:r>
    </w:p>
    <w:p w14:paraId="1633C3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加强农村公共服务体系建设，抓好基础教育、科技、文化、体育、卫生健康、食（药）品安全等工作，做好民政事务、残疾、老龄、就业创业、社会保障、劳动关系协调、民族宗教、退役军人事务、统计等工作，促进农村社会事业健康发展。</w:t>
      </w:r>
    </w:p>
    <w:p w14:paraId="67C841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5.负责辖区内自然资源、生态环境保护、森林防火、防汛抗旱、粮食安全、供销合作社等工作。</w:t>
      </w:r>
    </w:p>
    <w:p w14:paraId="40447C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6.推进基层民主法治建设，加强普法依法治理，指导村（居）民委员会工作，维护群众合法权益。</w:t>
      </w:r>
    </w:p>
    <w:p w14:paraId="7CB8D1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7.承担辖区平安建设、社会治安综合治理、安全和应急管理有关工作。负责群众来信来访，</w:t>
      </w:r>
      <w:r>
        <w:rPr>
          <w:rFonts w:hint="eastAsia" w:eastAsia="仿宋_GB2312" w:cs="仿宋_GB2312"/>
          <w:color w:val="auto"/>
          <w:kern w:val="2"/>
          <w:sz w:val="32"/>
          <w:szCs w:val="32"/>
          <w:highlight w:val="none"/>
          <w:lang w:val="en-US" w:eastAsia="zh-CN" w:bidi="ar-SA"/>
        </w:rPr>
        <w:t>反映</w:t>
      </w:r>
      <w:r>
        <w:rPr>
          <w:rFonts w:hint="eastAsia" w:ascii="Times New Roman" w:hAnsi="Times New Roman" w:eastAsia="仿宋_GB2312" w:cs="仿宋_GB2312"/>
          <w:color w:val="auto"/>
          <w:kern w:val="2"/>
          <w:sz w:val="32"/>
          <w:szCs w:val="32"/>
          <w:highlight w:val="none"/>
          <w:lang w:val="en-US" w:eastAsia="zh-CN" w:bidi="ar-SA"/>
        </w:rPr>
        <w:t>社情民意，化解矛盾纠纷，维护社会安全稳定。</w:t>
      </w:r>
    </w:p>
    <w:p w14:paraId="30C532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8.负责清理编制权责清单、公共服务清单事项，建立清单动态调整和公示机制，推进政务公开，接受群众监督，增强政府公信力。</w:t>
      </w:r>
    </w:p>
    <w:p w14:paraId="7650B7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9.负责国防教育、兵役征集、民兵预备役等有关工作。</w:t>
      </w:r>
    </w:p>
    <w:p w14:paraId="342693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10.承担法律、法规、规章规定的其他职能和上级党委、政府交办的其他工作。</w:t>
      </w:r>
    </w:p>
    <w:p w14:paraId="00BBF1A9">
      <w:pPr>
        <w:pStyle w:val="6"/>
        <w:keepNext/>
        <w:keepLines/>
        <w:pageBreakBefore w:val="0"/>
        <w:widowControl w:val="0"/>
        <w:numPr>
          <w:ilvl w:val="0"/>
          <w:numId w:val="1"/>
        </w:numPr>
        <w:kinsoku/>
        <w:wordWrap/>
        <w:overflowPunct/>
        <w:topLinePunct w:val="0"/>
        <w:autoSpaceDE/>
        <w:autoSpaceDN/>
        <w:bidi w:val="0"/>
        <w:adjustRightInd/>
        <w:snapToGrid/>
        <w:spacing w:line="416" w:lineRule="auto"/>
        <w:ind w:firstLine="640" w:firstLineChars="200"/>
        <w:textAlignment w:val="auto"/>
        <w:rPr>
          <w:rFonts w:hint="eastAsia" w:ascii="Times New Roman" w:hAnsi="Times New Roman" w:eastAsia="黑体"/>
          <w:b w:val="0"/>
          <w:color w:val="auto"/>
          <w:highlight w:val="none"/>
          <w:lang w:val="en-US" w:eastAsia="zh-CN"/>
        </w:rPr>
      </w:pPr>
      <w:bookmarkStart w:id="10" w:name="_Toc5546"/>
      <w:bookmarkStart w:id="11" w:name="_Toc15377200"/>
      <w:bookmarkStart w:id="12" w:name="_Toc15396601"/>
      <w:r>
        <w:rPr>
          <w:rFonts w:hint="eastAsia" w:ascii="Times New Roman" w:hAnsi="Times New Roman" w:eastAsia="黑体"/>
          <w:b w:val="0"/>
          <w:color w:val="auto"/>
          <w:highlight w:val="none"/>
          <w:lang w:val="en-US" w:eastAsia="zh-CN"/>
        </w:rPr>
        <w:t>机构设置</w:t>
      </w:r>
      <w:bookmarkEnd w:id="10"/>
      <w:bookmarkEnd w:id="11"/>
      <w:bookmarkEnd w:id="12"/>
    </w:p>
    <w:p w14:paraId="621FF419">
      <w:pPr>
        <w:pStyle w:val="15"/>
        <w:ind w:firstLine="640" w:firstLineChars="200"/>
        <w:rPr>
          <w:rFonts w:hint="eastAsia" w:ascii="Times New Roman" w:hAnsi="Times New Roman" w:eastAsia="仿宋_GB2312" w:cs="仿宋_GB2312"/>
          <w:color w:val="auto"/>
          <w:kern w:val="2"/>
          <w:sz w:val="32"/>
          <w:szCs w:val="32"/>
          <w:highlight w:val="none"/>
          <w:lang w:val="en-US" w:eastAsia="zh-CN" w:bidi="ar-SA"/>
        </w:rPr>
      </w:pPr>
      <w:bookmarkStart w:id="13" w:name="_Toc15377204"/>
      <w:bookmarkStart w:id="14" w:name="_Toc15396602"/>
      <w:r>
        <w:rPr>
          <w:rFonts w:hint="eastAsia" w:ascii="Times New Roman" w:hAnsi="Times New Roman" w:eastAsia="仿宋_GB2312" w:cs="仿宋_GB2312"/>
          <w:color w:val="auto"/>
          <w:kern w:val="2"/>
          <w:sz w:val="32"/>
          <w:szCs w:val="32"/>
          <w:highlight w:val="none"/>
          <w:lang w:val="en-US" w:eastAsia="zh-CN" w:bidi="ar-SA"/>
        </w:rPr>
        <w:t>高笋乡人民政府无下属二级单位，无纳入2025年度部门决算编制范围的二级预算单位。</w:t>
      </w:r>
    </w:p>
    <w:p w14:paraId="657D97A1">
      <w:pPr>
        <w:pStyle w:val="5"/>
        <w:jc w:val="center"/>
        <w:rPr>
          <w:rFonts w:hint="eastAsia" w:ascii="Times New Roman" w:hAnsi="Times New Roman" w:eastAsia="方正小标宋简体" w:cs="方正小标宋简体"/>
          <w:b w:val="0"/>
          <w:color w:val="auto"/>
          <w:highlight w:val="none"/>
        </w:rPr>
      </w:pPr>
      <w:bookmarkStart w:id="15" w:name="_Toc4703"/>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14:paraId="464D9312">
      <w:pPr>
        <w:rPr>
          <w:rFonts w:ascii="Times New Roman" w:hAnsi="Times New Roman"/>
          <w:color w:val="auto"/>
          <w:highlight w:val="none"/>
        </w:rPr>
      </w:pPr>
    </w:p>
    <w:p w14:paraId="5D2ED60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96603"/>
      <w:bookmarkStart w:id="17" w:name="_Toc15377205"/>
      <w:bookmarkStart w:id="18" w:name="_Toc22637"/>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6"/>
      <w:bookmarkEnd w:id="17"/>
      <w:bookmarkEnd w:id="18"/>
    </w:p>
    <w:p w14:paraId="411405AA">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default" w:ascii="Times New Roman" w:hAnsi="Times New Roman" w:eastAsia="仿宋_GB2312" w:cs="仿宋_GB2312"/>
          <w:color w:val="auto"/>
          <w:kern w:val="2"/>
          <w:sz w:val="32"/>
          <w:szCs w:val="32"/>
          <w:highlight w:val="none"/>
          <w:lang w:val="en-US" w:eastAsia="zh-CN" w:bidi="ar-SA"/>
        </w:rPr>
        <w:t>年度收、支总计</w:t>
      </w:r>
      <w:r>
        <w:rPr>
          <w:rFonts w:hint="eastAsia" w:eastAsia="仿宋_GB2312" w:cs="仿宋_GB2312"/>
          <w:color w:val="auto"/>
          <w:kern w:val="2"/>
          <w:sz w:val="32"/>
          <w:szCs w:val="32"/>
          <w:highlight w:val="none"/>
          <w:lang w:val="en-US" w:eastAsia="zh-CN" w:bidi="ar-SA"/>
        </w:rPr>
        <w:t>940.7</w:t>
      </w:r>
      <w:r>
        <w:rPr>
          <w:rFonts w:hint="default"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en-US" w:eastAsia="zh-CN" w:bidi="ar-SA"/>
        </w:rPr>
        <w:t>年965.88万元相比，收、支总计</w:t>
      </w:r>
      <w:r>
        <w:rPr>
          <w:rFonts w:hint="eastAsia" w:eastAsia="仿宋_GB2312" w:cs="仿宋_GB2312"/>
          <w:color w:val="auto"/>
          <w:kern w:val="2"/>
          <w:sz w:val="32"/>
          <w:szCs w:val="32"/>
          <w:highlight w:val="none"/>
          <w:lang w:val="en-US" w:eastAsia="zh-CN" w:bidi="ar-SA"/>
        </w:rPr>
        <w:t>减少25.18</w:t>
      </w:r>
      <w:r>
        <w:rPr>
          <w:rFonts w:hint="default"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下降2.61</w:t>
      </w:r>
      <w:r>
        <w:rPr>
          <w:rFonts w:hint="default" w:ascii="Times New Roman" w:hAnsi="Times New Roman" w:eastAsia="仿宋_GB2312" w:cs="仿宋_GB2312"/>
          <w:color w:val="auto"/>
          <w:kern w:val="2"/>
          <w:sz w:val="32"/>
          <w:szCs w:val="32"/>
          <w:highlight w:val="none"/>
          <w:lang w:val="en-US" w:eastAsia="zh-CN" w:bidi="ar-SA"/>
        </w:rPr>
        <w:t>%。主要变动原因是本年</w:t>
      </w:r>
      <w:r>
        <w:rPr>
          <w:rFonts w:hint="eastAsia" w:eastAsia="仿宋_GB2312" w:cs="仿宋_GB2312"/>
          <w:color w:val="auto"/>
          <w:kern w:val="2"/>
          <w:sz w:val="32"/>
          <w:szCs w:val="32"/>
          <w:highlight w:val="none"/>
          <w:lang w:val="en-US" w:eastAsia="zh-CN" w:bidi="ar-SA"/>
        </w:rPr>
        <w:t>项目支出减少，本年度</w:t>
      </w:r>
      <w:r>
        <w:rPr>
          <w:rFonts w:hint="default" w:ascii="Times New Roman" w:hAnsi="Times New Roman" w:eastAsia="仿宋_GB2312" w:cs="仿宋_GB2312"/>
          <w:color w:val="auto"/>
          <w:kern w:val="2"/>
          <w:sz w:val="32"/>
          <w:szCs w:val="32"/>
          <w:highlight w:val="none"/>
          <w:lang w:val="en-US" w:eastAsia="zh-CN" w:bidi="ar-SA"/>
        </w:rPr>
        <w:t>项目支出</w:t>
      </w:r>
      <w:r>
        <w:rPr>
          <w:rFonts w:hint="eastAsia" w:eastAsia="仿宋_GB2312" w:cs="仿宋_GB2312"/>
          <w:color w:val="auto"/>
          <w:kern w:val="2"/>
          <w:sz w:val="32"/>
          <w:szCs w:val="32"/>
          <w:highlight w:val="none"/>
          <w:lang w:val="en-US" w:eastAsia="zh-CN" w:bidi="ar-SA"/>
        </w:rPr>
        <w:t>280.91</w:t>
      </w:r>
      <w:r>
        <w:rPr>
          <w:rFonts w:hint="default" w:ascii="Times New Roman" w:hAnsi="Times New Roman" w:eastAsia="仿宋_GB2312" w:cs="仿宋_GB2312"/>
          <w:color w:val="auto"/>
          <w:kern w:val="2"/>
          <w:sz w:val="32"/>
          <w:szCs w:val="32"/>
          <w:highlight w:val="none"/>
          <w:lang w:val="en-US" w:eastAsia="zh-CN" w:bidi="ar-SA"/>
        </w:rPr>
        <w:t>万元，与上年度308.67万元相比，减少了</w:t>
      </w:r>
      <w:r>
        <w:rPr>
          <w:rFonts w:hint="eastAsia" w:eastAsia="仿宋_GB2312" w:cs="仿宋_GB2312"/>
          <w:color w:val="auto"/>
          <w:kern w:val="2"/>
          <w:sz w:val="32"/>
          <w:szCs w:val="32"/>
          <w:highlight w:val="none"/>
          <w:lang w:val="en-US" w:eastAsia="zh-CN" w:bidi="ar-SA"/>
        </w:rPr>
        <w:t>27.76</w:t>
      </w:r>
      <w:r>
        <w:rPr>
          <w:rFonts w:hint="default" w:ascii="Times New Roman" w:hAnsi="Times New Roman" w:eastAsia="仿宋_GB2312" w:cs="仿宋_GB2312"/>
          <w:color w:val="auto"/>
          <w:kern w:val="2"/>
          <w:sz w:val="32"/>
          <w:szCs w:val="32"/>
          <w:highlight w:val="none"/>
          <w:lang w:val="en-US" w:eastAsia="zh-CN" w:bidi="ar-SA"/>
        </w:rPr>
        <w:t>万元。</w:t>
      </w:r>
    </w:p>
    <w:p w14:paraId="5E750B6B">
      <w:pPr>
        <w:pStyle w:val="6"/>
        <w:keepNext/>
        <w:keepLines/>
        <w:pageBreakBefore w:val="0"/>
        <w:widowControl w:val="0"/>
        <w:numPr>
          <w:ilvl w:val="0"/>
          <w:numId w:val="0"/>
        </w:numPr>
        <w:kinsoku/>
        <w:wordWrap/>
        <w:overflowPunct/>
        <w:topLinePunct w:val="0"/>
        <w:autoSpaceDE/>
        <w:autoSpaceDN/>
        <w:bidi w:val="0"/>
        <w:adjustRightInd/>
        <w:snapToGrid/>
        <w:spacing w:line="416" w:lineRule="auto"/>
        <w:textAlignment w:val="auto"/>
        <w:rPr>
          <w:rFonts w:hint="eastAsia" w:ascii="Times New Roman" w:hAnsi="Times New Roman" w:eastAsia="黑体"/>
          <w:b w:val="0"/>
          <w:color w:val="auto"/>
          <w:highlight w:val="none"/>
          <w:lang w:val="en-US" w:eastAsia="zh-CN"/>
        </w:rPr>
      </w:pPr>
      <w:bookmarkStart w:id="19" w:name="_Toc15377206"/>
      <w:bookmarkStart w:id="20" w:name="_Toc4464"/>
      <w:bookmarkStart w:id="21" w:name="_Toc15396604"/>
      <w:r>
        <w:rPr>
          <w:rFonts w:hint="default" w:ascii="Times New Roman" w:hAnsi="Times New Roman" w:eastAsia="黑体"/>
          <w:b w:val="0"/>
          <w:color w:val="auto"/>
          <w:highlight w:val="none"/>
          <w:lang w:val="en-US" w:eastAsia="zh-CN"/>
        </w:rPr>
        <w:drawing>
          <wp:anchor distT="0" distB="0" distL="114300" distR="114300" simplePos="0" relativeHeight="251659264" behindDoc="0" locked="0" layoutInCell="1" allowOverlap="1">
            <wp:simplePos x="0" y="0"/>
            <wp:positionH relativeFrom="column">
              <wp:posOffset>161290</wp:posOffset>
            </wp:positionH>
            <wp:positionV relativeFrom="paragraph">
              <wp:posOffset>111760</wp:posOffset>
            </wp:positionV>
            <wp:extent cx="4800600" cy="2400300"/>
            <wp:effectExtent l="4445" t="4445" r="14605" b="1460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Times New Roman" w:hAnsi="Times New Roman" w:eastAsia="黑体"/>
          <w:b w:val="0"/>
          <w:color w:val="auto"/>
          <w:highlight w:val="none"/>
          <w:lang w:val="en-US" w:eastAsia="zh-CN"/>
        </w:rPr>
        <w:t xml:space="preserve">  二、收入决算情况说明</w:t>
      </w:r>
      <w:bookmarkEnd w:id="19"/>
      <w:bookmarkEnd w:id="20"/>
      <w:bookmarkEnd w:id="21"/>
    </w:p>
    <w:p w14:paraId="15E6EAA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22" w:name="_Toc17876"/>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年度本年收入合计</w:t>
      </w:r>
      <w:r>
        <w:rPr>
          <w:rFonts w:hint="eastAsia" w:eastAsia="仿宋_GB2312" w:cs="仿宋_GB2312"/>
          <w:color w:val="auto"/>
          <w:kern w:val="2"/>
          <w:sz w:val="32"/>
          <w:szCs w:val="32"/>
          <w:highlight w:val="none"/>
          <w:lang w:val="en-US" w:eastAsia="zh-CN" w:bidi="ar-SA"/>
        </w:rPr>
        <w:t>940.7</w:t>
      </w:r>
      <w:r>
        <w:rPr>
          <w:rFonts w:hint="eastAsia" w:ascii="Times New Roman" w:hAnsi="Times New Roman" w:eastAsia="仿宋_GB2312" w:cs="仿宋_GB2312"/>
          <w:color w:val="auto"/>
          <w:kern w:val="2"/>
          <w:sz w:val="32"/>
          <w:szCs w:val="32"/>
          <w:highlight w:val="none"/>
          <w:lang w:val="en-US" w:eastAsia="zh-CN" w:bidi="ar-SA"/>
        </w:rPr>
        <w:t>万元，其中：一般公共预算财政拨款收入</w:t>
      </w:r>
      <w:r>
        <w:rPr>
          <w:rFonts w:hint="eastAsia" w:eastAsia="仿宋_GB2312" w:cs="仿宋_GB2312"/>
          <w:color w:val="auto"/>
          <w:kern w:val="2"/>
          <w:sz w:val="32"/>
          <w:szCs w:val="32"/>
          <w:highlight w:val="none"/>
          <w:lang w:val="en-US" w:eastAsia="zh-CN" w:bidi="ar-SA"/>
        </w:rPr>
        <w:t>925.76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98.41</w:t>
      </w:r>
      <w:r>
        <w:rPr>
          <w:rFonts w:hint="eastAsia" w:ascii="Times New Roman" w:hAnsi="Times New Roman" w:eastAsia="仿宋_GB2312" w:cs="仿宋_GB2312"/>
          <w:color w:val="auto"/>
          <w:kern w:val="2"/>
          <w:sz w:val="32"/>
          <w:szCs w:val="32"/>
          <w:highlight w:val="none"/>
          <w:lang w:val="en-US" w:eastAsia="zh-CN" w:bidi="ar-SA"/>
        </w:rPr>
        <w:t>%；其他收入</w:t>
      </w:r>
      <w:r>
        <w:rPr>
          <w:rFonts w:hint="eastAsia" w:eastAsia="仿宋_GB2312" w:cs="仿宋_GB2312"/>
          <w:color w:val="auto"/>
          <w:kern w:val="2"/>
          <w:sz w:val="32"/>
          <w:szCs w:val="32"/>
          <w:highlight w:val="none"/>
          <w:lang w:val="en-US" w:eastAsia="zh-CN" w:bidi="ar-SA"/>
        </w:rPr>
        <w:t>14.94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1.59</w:t>
      </w:r>
      <w:r>
        <w:rPr>
          <w:rFonts w:hint="eastAsia" w:ascii="Times New Roman" w:hAnsi="Times New Roman" w:eastAsia="仿宋_GB2312" w:cs="仿宋_GB2312"/>
          <w:color w:val="auto"/>
          <w:kern w:val="2"/>
          <w:sz w:val="32"/>
          <w:szCs w:val="32"/>
          <w:highlight w:val="none"/>
          <w:lang w:val="en-US" w:eastAsia="zh-CN" w:bidi="ar-SA"/>
        </w:rPr>
        <w:t>%。</w:t>
      </w:r>
      <w:bookmarkEnd w:id="22"/>
    </w:p>
    <w:p w14:paraId="3C71849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仿宋_GB2312" w:cs="仿宋_GB2312"/>
          <w:color w:val="auto"/>
          <w:sz w:val="32"/>
          <w:szCs w:val="32"/>
          <w:highlight w:val="none"/>
          <w:lang w:eastAsia="zh-CN"/>
        </w:rPr>
      </w:pPr>
      <w: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FC7792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3" w:name="_Toc15377207"/>
      <w:bookmarkStart w:id="24" w:name="_Toc18318"/>
      <w:bookmarkStart w:id="25"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3"/>
      <w:bookmarkEnd w:id="24"/>
      <w:bookmarkEnd w:id="25"/>
    </w:p>
    <w:p w14:paraId="17AE4EFF">
      <w:pPr>
        <w:ind w:firstLine="640" w:firstLineChars="200"/>
        <w:jc w:val="left"/>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 xml:space="preserve">2025年度本年支出合计940.62万元，其中：基本支出659.71万元，占70.14%；项目支出280.91万元，占29.86%。  </w:t>
      </w:r>
      <w: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5CC1E3F">
      <w:pPr>
        <w:spacing w:line="600" w:lineRule="exact"/>
        <w:ind w:firstLine="640" w:firstLineChars="200"/>
        <w:outlineLvl w:val="1"/>
        <w:rPr>
          <w:rStyle w:val="30"/>
          <w:rFonts w:ascii="Times New Roman" w:hAnsi="Times New Roman" w:eastAsia="黑体"/>
          <w:b w:val="0"/>
          <w:color w:val="auto"/>
          <w:highlight w:val="none"/>
        </w:rPr>
      </w:pPr>
      <w:bookmarkStart w:id="26" w:name="_Toc7672"/>
      <w:bookmarkStart w:id="27" w:name="_Toc15396606"/>
      <w:bookmarkStart w:id="28"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6"/>
      <w:bookmarkEnd w:id="27"/>
      <w:bookmarkEnd w:id="28"/>
    </w:p>
    <w:p w14:paraId="6D511F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2025年度财政拨款收入、支出总计均为925.76万元。</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年度相比944.97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，财政拨款收入总计、支出总计各减少</w:t>
      </w:r>
      <w:r>
        <w:rPr>
          <w:rFonts w:hint="eastAsia" w:eastAsia="仿宋_GB2312" w:cs="仿宋_GB2312"/>
          <w:color w:val="auto"/>
          <w:kern w:val="2"/>
          <w:sz w:val="32"/>
          <w:szCs w:val="32"/>
          <w:highlight w:val="none"/>
          <w:lang w:val="en-US" w:eastAsia="zh-CN" w:bidi="ar-SA"/>
        </w:rPr>
        <w:t>19.21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2.03</w:t>
      </w:r>
      <w:r>
        <w:rPr>
          <w:rFonts w:hint="eastAsia" w:ascii="Times New Roman" w:hAnsi="Times New Roman" w:eastAsia="仿宋_GB2312" w:cs="仿宋_GB2312"/>
          <w:color w:val="auto"/>
          <w:kern w:val="2"/>
          <w:sz w:val="32"/>
          <w:szCs w:val="32"/>
          <w:highlight w:val="none"/>
          <w:lang w:val="en-US" w:eastAsia="zh-CN" w:bidi="ar-SA"/>
        </w:rPr>
        <w:t>%。主要变动原因是项目减少。</w:t>
      </w:r>
    </w:p>
    <w:p w14:paraId="39E03E33">
      <w:pPr>
        <w:spacing w:line="600" w:lineRule="exact"/>
        <w:ind w:firstLine="640"/>
        <w:rPr>
          <w:rStyle w:val="30"/>
          <w:rFonts w:ascii="Times New Roman" w:hAnsi="Times New Roman" w:eastAsia="黑体"/>
          <w:b w:val="0"/>
          <w:color w:val="auto"/>
          <w:highlight w:val="none"/>
        </w:rPr>
      </w:pPr>
      <w:r>
        <w:drawing>
          <wp:anchor distT="0" distB="0" distL="114300" distR="114300" simplePos="0" relativeHeight="251662336" behindDoc="0" locked="0" layoutInCell="1" allowOverlap="1">
            <wp:simplePos x="0" y="0"/>
            <wp:positionH relativeFrom="column">
              <wp:posOffset>444500</wp:posOffset>
            </wp:positionH>
            <wp:positionV relativeFrom="paragraph">
              <wp:posOffset>50800</wp:posOffset>
            </wp:positionV>
            <wp:extent cx="4700270" cy="1962785"/>
            <wp:effectExtent l="4445" t="5080" r="19685" b="13335"/>
            <wp:wrapTopAndBottom/>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29" w:name="_Toc28616"/>
      <w:bookmarkStart w:id="30" w:name="_Toc15377209"/>
      <w:bookmarkStart w:id="31"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9"/>
      <w:bookmarkEnd w:id="30"/>
      <w:bookmarkEnd w:id="31"/>
    </w:p>
    <w:p w14:paraId="0BAC715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2"/>
    </w:p>
    <w:p w14:paraId="6979751F">
      <w:pPr>
        <w:spacing w:line="600" w:lineRule="exact"/>
        <w:ind w:firstLine="640"/>
      </w:pPr>
      <w:r>
        <w:rPr>
          <w:rFonts w:hint="eastAsia" w:eastAsia="仿宋_GB2312" w:cs="仿宋_GB2312"/>
          <w:color w:val="auto"/>
          <w:kern w:val="2"/>
          <w:sz w:val="32"/>
          <w:szCs w:val="32"/>
          <w:highlight w:val="none"/>
          <w:lang w:val="en-US" w:eastAsia="zh-CN" w:bidi="ar-SA"/>
        </w:rPr>
        <w:t>2025年度一般公共预算财政拨款支出925.76万元，占本年支出合计的98.41%。</w:t>
      </w:r>
      <w:r>
        <w:rPr>
          <w:rFonts w:hint="eastAsia" w:ascii="Times New Roman" w:hAnsi="Times New Roman" w:eastAsia="仿宋_GB2312" w:cs="仿宋_GB2312"/>
          <w:color w:val="auto"/>
          <w:kern w:val="2"/>
          <w:sz w:val="32"/>
          <w:szCs w:val="32"/>
          <w:highlight w:val="none"/>
          <w:lang w:val="en-US" w:eastAsia="zh-CN" w:bidi="ar-SA"/>
        </w:rPr>
        <w:t>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年度一般公共预算财政拨款支出944.97万元相比，一般公共预算财政拨款支出</w:t>
      </w:r>
      <w:r>
        <w:rPr>
          <w:rFonts w:hint="eastAsia" w:eastAsia="仿宋_GB2312" w:cs="仿宋_GB2312"/>
          <w:color w:val="auto"/>
          <w:kern w:val="2"/>
          <w:sz w:val="32"/>
          <w:szCs w:val="32"/>
          <w:highlight w:val="none"/>
          <w:lang w:val="en-US" w:eastAsia="zh-CN" w:bidi="ar-SA"/>
        </w:rPr>
        <w:t>减少19.21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下降2</w:t>
      </w:r>
      <w:r>
        <w:rPr>
          <w:rFonts w:hint="eastAsia" w:ascii="Times New Roman" w:hAnsi="Times New Roman" w:eastAsia="仿宋_GB2312" w:cs="仿宋_GB2312"/>
          <w:color w:val="auto"/>
          <w:kern w:val="2"/>
          <w:sz w:val="32"/>
          <w:szCs w:val="32"/>
          <w:highlight w:val="none"/>
          <w:lang w:val="en-US" w:eastAsia="zh-CN" w:bidi="ar-SA"/>
        </w:rPr>
        <w:t>%。主要变动原因是项目减少</w:t>
      </w:r>
      <w:r>
        <w:rPr>
          <w:rFonts w:hint="eastAsia" w:eastAsia="仿宋_GB2312" w:cs="仿宋_GB2312"/>
          <w:color w:val="auto"/>
          <w:kern w:val="2"/>
          <w:sz w:val="32"/>
          <w:szCs w:val="32"/>
          <w:highlight w:val="none"/>
          <w:lang w:val="en-US" w:eastAsia="zh-CN" w:bidi="ar-SA"/>
        </w:rPr>
        <w:t>。</w:t>
      </w:r>
      <w:bookmarkStart w:id="33" w:name="_Toc15377211"/>
    </w:p>
    <w:p w14:paraId="263843F3">
      <w:pPr>
        <w:spacing w:line="600" w:lineRule="exact"/>
        <w:ind w:firstLine="640"/>
        <w:rPr>
          <w:rFonts w:hint="eastAsia" w:ascii="Times New Roman" w:hAnsi="Times New Roman" w:eastAsia="楷体_GB2312" w:cs="楷体_GB2312"/>
          <w:b/>
          <w:color w:val="auto"/>
          <w:sz w:val="32"/>
          <w:szCs w:val="32"/>
          <w:highlight w:val="none"/>
        </w:rPr>
      </w:pPr>
      <w:r>
        <w:drawing>
          <wp:anchor distT="0" distB="0" distL="114300" distR="114300" simplePos="0" relativeHeight="251663360" behindDoc="0" locked="0" layoutInCell="1" allowOverlap="1">
            <wp:simplePos x="0" y="0"/>
            <wp:positionH relativeFrom="column">
              <wp:posOffset>-34290</wp:posOffset>
            </wp:positionH>
            <wp:positionV relativeFrom="paragraph">
              <wp:posOffset>123190</wp:posOffset>
            </wp:positionV>
            <wp:extent cx="5256530" cy="2988310"/>
            <wp:effectExtent l="5080" t="4445" r="15240" b="17145"/>
            <wp:wrapTopAndBottom/>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楷体_GB2312" w:cs="楷体_GB2312"/>
          <w:b/>
          <w:color w:val="auto"/>
          <w:sz w:val="32"/>
          <w:szCs w:val="32"/>
          <w:highlight w:val="none"/>
        </w:rPr>
        <w:t>（二）一般公共预算财政拨款支出决算结构情况</w:t>
      </w:r>
      <w:bookmarkEnd w:id="33"/>
    </w:p>
    <w:p w14:paraId="701D90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eastAsia="仿宋_GB2312" w:cs="仿宋_GB2312"/>
          <w:color w:val="auto"/>
          <w:kern w:val="2"/>
          <w:sz w:val="32"/>
          <w:szCs w:val="32"/>
          <w:highlight w:val="none"/>
          <w:lang w:val="en-US" w:eastAsia="zh-CN" w:bidi="ar-SA"/>
        </w:rPr>
        <w:t>925.76</w:t>
      </w:r>
      <w:r>
        <w:rPr>
          <w:rFonts w:hint="eastAsia" w:ascii="Times New Roman" w:hAnsi="Times New Roman" w:eastAsia="仿宋_GB2312" w:cs="仿宋_GB2312"/>
          <w:color w:val="auto"/>
          <w:kern w:val="2"/>
          <w:sz w:val="32"/>
          <w:szCs w:val="32"/>
          <w:highlight w:val="none"/>
          <w:lang w:val="en-US" w:eastAsia="zh-CN" w:bidi="ar-SA"/>
        </w:rPr>
        <w:t>万元，主要用于以下方面：一般公共服务支出</w:t>
      </w:r>
      <w:r>
        <w:rPr>
          <w:rFonts w:hint="eastAsia" w:eastAsia="仿宋_GB2312" w:cs="仿宋_GB2312"/>
          <w:color w:val="auto"/>
          <w:kern w:val="2"/>
          <w:sz w:val="32"/>
          <w:szCs w:val="32"/>
          <w:highlight w:val="none"/>
          <w:lang w:val="en-US" w:eastAsia="zh-CN" w:bidi="ar-SA"/>
        </w:rPr>
        <w:t>523.78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56.58</w:t>
      </w:r>
      <w:r>
        <w:rPr>
          <w:rFonts w:hint="eastAsia" w:ascii="Times New Roman" w:hAnsi="Times New Roman" w:eastAsia="仿宋_GB2312" w:cs="仿宋_GB2312"/>
          <w:color w:val="auto"/>
          <w:kern w:val="2"/>
          <w:sz w:val="32"/>
          <w:szCs w:val="32"/>
          <w:highlight w:val="none"/>
          <w:lang w:val="en-US" w:eastAsia="zh-CN" w:bidi="ar-SA"/>
        </w:rPr>
        <w:t>%；国防支出0.8</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%；公共安全支出</w:t>
      </w:r>
      <w:r>
        <w:rPr>
          <w:rFonts w:hint="eastAsia" w:eastAsia="仿宋_GB2312" w:cs="仿宋_GB2312"/>
          <w:color w:val="auto"/>
          <w:kern w:val="2"/>
          <w:sz w:val="32"/>
          <w:szCs w:val="32"/>
          <w:highlight w:val="none"/>
          <w:lang w:val="en-US" w:eastAsia="zh-CN" w:bidi="ar-SA"/>
        </w:rPr>
        <w:t>0.89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0.31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84.46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9.12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23.2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2.51</w:t>
      </w:r>
      <w:r>
        <w:rPr>
          <w:rFonts w:hint="eastAsia" w:ascii="Times New Roman" w:hAnsi="Times New Roman" w:eastAsia="仿宋_GB2312" w:cs="仿宋_GB2312"/>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246.78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26.66</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45.14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4.88</w:t>
      </w:r>
      <w:r>
        <w:rPr>
          <w:rFonts w:hint="eastAsia" w:ascii="Times New Roman" w:hAnsi="Times New Roman" w:eastAsia="仿宋_GB2312" w:cs="仿宋_GB2312"/>
          <w:color w:val="auto"/>
          <w:kern w:val="2"/>
          <w:sz w:val="32"/>
          <w:szCs w:val="32"/>
          <w:highlight w:val="none"/>
          <w:lang w:val="en-US" w:eastAsia="zh-CN" w:bidi="ar-SA"/>
        </w:rPr>
        <w:t>%；灾害防治及应急管理支出</w:t>
      </w:r>
      <w:r>
        <w:rPr>
          <w:rFonts w:hint="eastAsia" w:eastAsia="仿宋_GB2312" w:cs="仿宋_GB2312"/>
          <w:color w:val="auto"/>
          <w:kern w:val="2"/>
          <w:sz w:val="32"/>
          <w:szCs w:val="32"/>
          <w:highlight w:val="none"/>
          <w:lang w:val="en-US" w:eastAsia="zh-CN" w:bidi="ar-SA"/>
        </w:rPr>
        <w:t>0.29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，占0.03</w:t>
      </w:r>
      <w:r>
        <w:rPr>
          <w:rFonts w:hint="eastAsia" w:ascii="Times New Roman" w:hAnsi="Times New Roman" w:eastAsia="仿宋_GB2312" w:cs="仿宋_GB2312"/>
          <w:color w:val="auto"/>
          <w:kern w:val="2"/>
          <w:sz w:val="32"/>
          <w:szCs w:val="32"/>
          <w:highlight w:val="none"/>
          <w:lang w:val="en-US" w:eastAsia="zh-CN" w:bidi="ar-SA"/>
        </w:rPr>
        <w:t>%。</w:t>
      </w:r>
    </w:p>
    <w:p w14:paraId="5016A70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2"/>
    </w:p>
    <w:p w14:paraId="4402CA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2AAD222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61278D5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7C7D31C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14:paraId="69302DA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34"/>
    </w:p>
    <w:p w14:paraId="423081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78460"/>
      <w:bookmarkStart w:id="36" w:name="_Toc15377213"/>
      <w:bookmarkStart w:id="37" w:name="_Toc15377444"/>
      <w:r>
        <w:rPr>
          <w:rFonts w:hint="eastAsia" w:eastAsia="仿宋_GB2312" w:cs="仿宋_GB2312"/>
          <w:color w:val="auto"/>
          <w:kern w:val="2"/>
          <w:sz w:val="32"/>
          <w:szCs w:val="32"/>
          <w:highlight w:val="none"/>
          <w:lang w:val="en-US" w:eastAsia="zh-CN" w:bidi="ar-SA"/>
        </w:rPr>
        <w:t>2025年度一般公共预算财政拨款支出925.76万元，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99.89</w:t>
      </w:r>
      <w:r>
        <w:rPr>
          <w:rFonts w:hint="eastAsia" w:ascii="Times New Roman" w:hAnsi="Times New Roman" w:eastAsia="仿宋_GB2312" w:cs="仿宋_GB2312"/>
          <w:color w:val="auto"/>
          <w:kern w:val="2"/>
          <w:sz w:val="32"/>
          <w:szCs w:val="32"/>
          <w:highlight w:val="none"/>
          <w:lang w:val="en-US" w:eastAsia="zh-CN" w:bidi="ar-SA"/>
        </w:rPr>
        <w:t>%。其中：</w:t>
      </w:r>
      <w:bookmarkEnd w:id="35"/>
      <w:bookmarkEnd w:id="36"/>
      <w:bookmarkEnd w:id="37"/>
    </w:p>
    <w:p w14:paraId="0E5597B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一般公共服务（类）人大事务（款）人大会议（项）：支出决算为1.6</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055670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159385</wp:posOffset>
            </wp:positionH>
            <wp:positionV relativeFrom="page">
              <wp:posOffset>546735</wp:posOffset>
            </wp:positionV>
            <wp:extent cx="5256530" cy="2988310"/>
            <wp:effectExtent l="5080" t="4445" r="15240" b="17145"/>
            <wp:wrapSquare wrapText="bothSides"/>
            <wp:docPr id="17" name="图表 17"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一般公共服务（类）人大事务（款）代表工作（项）：支出决算为</w:t>
      </w:r>
      <w:r>
        <w:rPr>
          <w:rFonts w:hint="eastAsia" w:eastAsia="仿宋_GB2312" w:cs="仿宋_GB2312"/>
          <w:color w:val="auto"/>
          <w:kern w:val="2"/>
          <w:sz w:val="32"/>
          <w:szCs w:val="32"/>
          <w:highlight w:val="none"/>
          <w:lang w:val="en-US" w:eastAsia="zh-CN" w:bidi="ar-SA"/>
        </w:rPr>
        <w:t>4.5</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6E03C2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一般公共服务（类）政协事务（款）一般行政管理事务（项）：支出决算为0.5万元，完成预算100%。</w:t>
      </w:r>
    </w:p>
    <w:p w14:paraId="1B8FD9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一般公共服务（类）政协事务（款）其他政协事务支出（项）：支出决算为0.6万元，完成预算100%。</w:t>
      </w:r>
    </w:p>
    <w:p w14:paraId="2981CF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一般公共服务（类）政府办公厅（室）及相关机构事务（款）行政运行（项）：支出决算为</w:t>
      </w:r>
      <w:r>
        <w:rPr>
          <w:rFonts w:hint="eastAsia" w:eastAsia="仿宋_GB2312" w:cs="仿宋_GB2312"/>
          <w:color w:val="auto"/>
          <w:kern w:val="2"/>
          <w:sz w:val="32"/>
          <w:szCs w:val="32"/>
          <w:highlight w:val="none"/>
          <w:lang w:val="en-US" w:eastAsia="zh-CN" w:bidi="ar-SA"/>
        </w:rPr>
        <w:t>366.33</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682FAD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一般公共服务（类）政府办公厅（室）及相关机构事务（款）事业运行（项）：支出决算为</w:t>
      </w:r>
      <w:r>
        <w:rPr>
          <w:rFonts w:hint="eastAsia" w:eastAsia="仿宋_GB2312" w:cs="仿宋_GB2312"/>
          <w:color w:val="auto"/>
          <w:kern w:val="2"/>
          <w:sz w:val="32"/>
          <w:szCs w:val="32"/>
          <w:highlight w:val="none"/>
          <w:lang w:val="en-US" w:eastAsia="zh-CN" w:bidi="ar-SA"/>
        </w:rPr>
        <w:t>150.17</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8E6AC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国防支出（类）国防动员（款）民兵（项）：决算数为0.8</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0BD33C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公共安全支出（类）司法（款）普法宣传（项）：决算数为</w:t>
      </w:r>
      <w:r>
        <w:rPr>
          <w:rFonts w:hint="eastAsia" w:eastAsia="仿宋_GB2312" w:cs="仿宋_GB2312"/>
          <w:color w:val="auto"/>
          <w:kern w:val="2"/>
          <w:sz w:val="32"/>
          <w:szCs w:val="32"/>
          <w:highlight w:val="none"/>
          <w:lang w:val="en-US" w:eastAsia="zh-CN" w:bidi="ar-SA"/>
        </w:rPr>
        <w:t>0.89</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CD2AB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文化旅游体育与传媒支出（类）文化和旅游（款）群众文化（项）：决算数为</w:t>
      </w:r>
      <w:r>
        <w:rPr>
          <w:rFonts w:hint="eastAsia" w:eastAsia="仿宋_GB2312" w:cs="仿宋_GB2312"/>
          <w:color w:val="auto"/>
          <w:kern w:val="2"/>
          <w:sz w:val="32"/>
          <w:szCs w:val="32"/>
          <w:highlight w:val="none"/>
          <w:lang w:val="en-US" w:eastAsia="zh-CN" w:bidi="ar-SA"/>
        </w:rPr>
        <w:t>0.31</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20EE9D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w:t>
      </w:r>
      <w:r>
        <w:rPr>
          <w:rFonts w:hint="eastAsia" w:eastAsia="仿宋_GB2312" w:cs="仿宋_GB2312"/>
          <w:color w:val="auto"/>
          <w:kern w:val="2"/>
          <w:sz w:val="32"/>
          <w:szCs w:val="32"/>
          <w:highlight w:val="none"/>
          <w:lang w:val="en-US" w:eastAsia="zh-CN" w:bidi="ar-SA"/>
        </w:rPr>
        <w:t>民政管理事务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老龄事务</w:t>
      </w:r>
      <w:r>
        <w:rPr>
          <w:rFonts w:hint="eastAsia" w:ascii="Times New Roman" w:hAnsi="Times New Roman" w:eastAsia="仿宋_GB2312" w:cs="仿宋_GB2312"/>
          <w:color w:val="auto"/>
          <w:kern w:val="2"/>
          <w:sz w:val="32"/>
          <w:szCs w:val="32"/>
          <w:highlight w:val="none"/>
          <w:lang w:val="en-US" w:eastAsia="zh-CN" w:bidi="ar-SA"/>
        </w:rPr>
        <w:t>（项）：决算数为</w:t>
      </w:r>
      <w:r>
        <w:rPr>
          <w:rFonts w:hint="eastAsia" w:eastAsia="仿宋_GB2312" w:cs="仿宋_GB2312"/>
          <w:color w:val="auto"/>
          <w:kern w:val="2"/>
          <w:sz w:val="32"/>
          <w:szCs w:val="32"/>
          <w:highlight w:val="none"/>
          <w:lang w:val="en-US" w:eastAsia="zh-CN" w:bidi="ar-SA"/>
        </w:rPr>
        <w:t>0.8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3A1E4F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社会保障和就业支出（类）行政事业单位养老支出（款）机关事业单位基本养老保险缴费支出（项）：决算数为</w:t>
      </w:r>
      <w:r>
        <w:rPr>
          <w:rFonts w:hint="eastAsia" w:eastAsia="仿宋_GB2312" w:cs="仿宋_GB2312"/>
          <w:color w:val="auto"/>
          <w:kern w:val="2"/>
          <w:sz w:val="32"/>
          <w:szCs w:val="32"/>
          <w:highlight w:val="none"/>
          <w:lang w:val="en-US" w:eastAsia="zh-CN" w:bidi="ar-SA"/>
        </w:rPr>
        <w:t>53.38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70314C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社会保障和就业支出（类）行政事业单位养老支出（款）机关事业单位职业年金缴费支出（项）：决算数为</w:t>
      </w:r>
      <w:r>
        <w:rPr>
          <w:rFonts w:hint="eastAsia" w:eastAsia="仿宋_GB2312" w:cs="仿宋_GB2312"/>
          <w:color w:val="auto"/>
          <w:kern w:val="2"/>
          <w:sz w:val="32"/>
          <w:szCs w:val="32"/>
          <w:highlight w:val="none"/>
          <w:lang w:val="en-US" w:eastAsia="zh-CN" w:bidi="ar-SA"/>
        </w:rPr>
        <w:t>17.98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37998B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w:t>
      </w:r>
      <w:r>
        <w:rPr>
          <w:rFonts w:hint="eastAsia" w:eastAsia="仿宋_GB2312" w:cs="仿宋_GB2312"/>
          <w:color w:val="auto"/>
          <w:kern w:val="2"/>
          <w:sz w:val="32"/>
          <w:szCs w:val="32"/>
          <w:highlight w:val="none"/>
          <w:lang w:val="en-US" w:eastAsia="zh-CN" w:bidi="ar-SA"/>
        </w:rPr>
        <w:t>其他行政事业单位养老支出</w:t>
      </w:r>
      <w:r>
        <w:rPr>
          <w:rFonts w:hint="eastAsia" w:ascii="Times New Roman" w:hAnsi="Times New Roman" w:eastAsia="仿宋_GB2312" w:cs="仿宋_GB2312"/>
          <w:color w:val="auto"/>
          <w:kern w:val="2"/>
          <w:sz w:val="32"/>
          <w:szCs w:val="32"/>
          <w:highlight w:val="none"/>
          <w:lang w:val="en-US" w:eastAsia="zh-CN" w:bidi="ar-SA"/>
        </w:rPr>
        <w:t>（项）：决算数为</w:t>
      </w:r>
      <w:r>
        <w:rPr>
          <w:rFonts w:hint="eastAsia" w:eastAsia="仿宋_GB2312" w:cs="仿宋_GB2312"/>
          <w:color w:val="auto"/>
          <w:kern w:val="2"/>
          <w:sz w:val="32"/>
          <w:szCs w:val="32"/>
          <w:highlight w:val="none"/>
          <w:lang w:val="en-US" w:eastAsia="zh-CN" w:bidi="ar-SA"/>
        </w:rPr>
        <w:t>2.24</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11E6712D">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社会保障和就业支出（类）临时救助（款）临时救助支出（项）：决算数为</w:t>
      </w:r>
      <w:r>
        <w:rPr>
          <w:rFonts w:hint="eastAsia" w:eastAsia="仿宋_GB2312" w:cs="仿宋_GB2312"/>
          <w:color w:val="auto"/>
          <w:kern w:val="2"/>
          <w:sz w:val="32"/>
          <w:szCs w:val="32"/>
          <w:highlight w:val="none"/>
          <w:lang w:val="en-US" w:eastAsia="zh-CN" w:bidi="ar-SA"/>
        </w:rPr>
        <w:t>8.8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89.41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，主要原因是结转到下一年使用。</w:t>
      </w:r>
    </w:p>
    <w:p w14:paraId="7F07F3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社会保障和就业支出（类）其他社会保障和就业支出（款）其他社会保障和就业支出（项）：决算数为</w:t>
      </w:r>
      <w:r>
        <w:rPr>
          <w:rFonts w:hint="eastAsia" w:eastAsia="仿宋_GB2312" w:cs="仿宋_GB2312"/>
          <w:color w:val="auto"/>
          <w:kern w:val="2"/>
          <w:sz w:val="32"/>
          <w:szCs w:val="32"/>
          <w:highlight w:val="none"/>
          <w:lang w:val="en-US" w:eastAsia="zh-CN" w:bidi="ar-SA"/>
        </w:rPr>
        <w:t>1.27</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149E5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卫生健康支出（类）行政事业单位医疗（款）行政单位医疗（项）：决算数为</w:t>
      </w:r>
      <w:r>
        <w:rPr>
          <w:rFonts w:hint="eastAsia" w:eastAsia="仿宋_GB2312" w:cs="仿宋_GB2312"/>
          <w:color w:val="auto"/>
          <w:kern w:val="2"/>
          <w:sz w:val="32"/>
          <w:szCs w:val="32"/>
          <w:highlight w:val="none"/>
          <w:lang w:val="en-US" w:eastAsia="zh-CN" w:bidi="ar-SA"/>
        </w:rPr>
        <w:t>14.28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29E997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卫生健康支出（类）行政事业单位医疗（款）事业单位医疗（项）：决算数为</w:t>
      </w:r>
      <w:r>
        <w:rPr>
          <w:rFonts w:hint="eastAsia" w:eastAsia="仿宋_GB2312" w:cs="仿宋_GB2312"/>
          <w:color w:val="auto"/>
          <w:kern w:val="2"/>
          <w:sz w:val="32"/>
          <w:szCs w:val="32"/>
          <w:highlight w:val="none"/>
          <w:lang w:val="en-US" w:eastAsia="zh-CN" w:bidi="ar-SA"/>
        </w:rPr>
        <w:t>6.09</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B7844A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卫生健康支出（类）行政事业单位医疗（款）公务员医疗补助（项）：决算数为</w:t>
      </w:r>
      <w:r>
        <w:rPr>
          <w:rFonts w:hint="eastAsia" w:eastAsia="仿宋_GB2312" w:cs="仿宋_GB2312"/>
          <w:color w:val="auto"/>
          <w:kern w:val="2"/>
          <w:sz w:val="32"/>
          <w:szCs w:val="32"/>
          <w:highlight w:val="none"/>
          <w:lang w:val="en-US" w:eastAsia="zh-CN" w:bidi="ar-SA"/>
        </w:rPr>
        <w:t>2.84</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614BF6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农林水支出（类）农村综合改革（款）对村民委员会和村党支部的补助（项）：决算数为</w:t>
      </w:r>
      <w:r>
        <w:rPr>
          <w:rFonts w:hint="eastAsia" w:eastAsia="仿宋_GB2312" w:cs="仿宋_GB2312"/>
          <w:color w:val="auto"/>
          <w:kern w:val="2"/>
          <w:sz w:val="32"/>
          <w:szCs w:val="32"/>
          <w:highlight w:val="none"/>
          <w:lang w:val="en-US" w:eastAsia="zh-CN" w:bidi="ar-SA"/>
        </w:rPr>
        <w:t>246.78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661F45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住房保障支出（类）住房改革支出（款）住房公积金（项）：决算数为</w:t>
      </w:r>
      <w:r>
        <w:rPr>
          <w:rFonts w:hint="eastAsia" w:eastAsia="仿宋_GB2312" w:cs="仿宋_GB2312"/>
          <w:color w:val="auto"/>
          <w:kern w:val="2"/>
          <w:sz w:val="32"/>
          <w:szCs w:val="32"/>
          <w:highlight w:val="none"/>
          <w:lang w:val="en-US" w:eastAsia="zh-CN" w:bidi="ar-SA"/>
        </w:rPr>
        <w:t>45.14</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60F318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灾害防治及应急管理支出（类）自然灾害救灾及恢复重建支出（款）其他自然灾害救灾及恢复重建支出（项）：决算数为</w:t>
      </w:r>
      <w:r>
        <w:rPr>
          <w:rFonts w:hint="eastAsia" w:eastAsia="仿宋_GB2312" w:cs="仿宋_GB2312"/>
          <w:color w:val="auto"/>
          <w:kern w:val="2"/>
          <w:sz w:val="32"/>
          <w:szCs w:val="32"/>
          <w:highlight w:val="none"/>
          <w:lang w:val="en-US" w:eastAsia="zh-CN" w:bidi="ar-SA"/>
        </w:rPr>
        <w:t>0.29</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6BB423DE">
      <w:pPr>
        <w:tabs>
          <w:tab w:val="right" w:pos="8306"/>
        </w:tabs>
        <w:spacing w:line="600" w:lineRule="exact"/>
        <w:ind w:firstLine="640"/>
        <w:outlineLvl w:val="1"/>
        <w:rPr>
          <w:rStyle w:val="30"/>
          <w:rFonts w:ascii="Times New Roman" w:hAnsi="Times New Roman"/>
          <w:color w:val="auto"/>
          <w:highlight w:val="none"/>
        </w:rPr>
      </w:pPr>
      <w:bookmarkStart w:id="38" w:name="_Toc12877"/>
      <w:bookmarkStart w:id="39" w:name="_Toc15396608"/>
      <w:bookmarkStart w:id="40"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8"/>
      <w:bookmarkEnd w:id="39"/>
      <w:bookmarkEnd w:id="40"/>
      <w:r>
        <w:rPr>
          <w:rStyle w:val="30"/>
          <w:rFonts w:ascii="Times New Roman" w:hAnsi="Times New Roman" w:eastAsia="黑体"/>
          <w:b w:val="0"/>
          <w:color w:val="auto"/>
          <w:highlight w:val="none"/>
        </w:rPr>
        <w:tab/>
      </w:r>
    </w:p>
    <w:p w14:paraId="31918A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eastAsia="仿宋_GB2312" w:cs="仿宋_GB2312"/>
          <w:color w:val="auto"/>
          <w:kern w:val="2"/>
          <w:sz w:val="32"/>
          <w:szCs w:val="32"/>
          <w:highlight w:val="none"/>
          <w:lang w:val="en-US" w:eastAsia="zh-CN" w:bidi="ar-SA"/>
        </w:rPr>
        <w:t>659.71</w:t>
      </w:r>
      <w:r>
        <w:rPr>
          <w:rFonts w:hint="eastAsia" w:ascii="Times New Roman" w:hAnsi="Times New Roman" w:eastAsia="仿宋_GB2312" w:cs="仿宋_GB2312"/>
          <w:color w:val="auto"/>
          <w:kern w:val="2"/>
          <w:sz w:val="32"/>
          <w:szCs w:val="32"/>
          <w:highlight w:val="none"/>
          <w:lang w:val="en-US" w:eastAsia="zh-CN" w:bidi="ar-SA"/>
        </w:rPr>
        <w:t>万元，其中：</w:t>
      </w:r>
    </w:p>
    <w:p w14:paraId="315CE4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577.39万元，主要包括：基本工资、津贴补贴、奖金、绩效工资、机关事业单位基本养老保险缴费、职业年金缴费、职工基本医疗保险缴费、公务员医疗补助缴费、其他社会保障缴费、住房公积金、其他工资福利支出、生活补助、奖励金、其他对个人和家庭的补助支出等。</w:t>
      </w:r>
    </w:p>
    <w:p w14:paraId="0BC309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公用经费82.32万元，主要包括：办公费、印刷费、水费、电费、邮电费、差旅费、维修（护）费、劳务费、委托业务费、工会经费、福利费、公务用车运行维护费、其他交通费、其他商品和服务支出等。</w:t>
      </w:r>
    </w:p>
    <w:p w14:paraId="78EE5E53">
      <w:pPr>
        <w:spacing w:line="600" w:lineRule="exact"/>
        <w:ind w:firstLine="640"/>
        <w:outlineLvl w:val="1"/>
        <w:rPr>
          <w:rStyle w:val="30"/>
          <w:rFonts w:ascii="Times New Roman" w:hAnsi="Times New Roman" w:eastAsia="黑体"/>
          <w:b w:val="0"/>
          <w:color w:val="auto"/>
          <w:highlight w:val="none"/>
        </w:rPr>
      </w:pPr>
      <w:bookmarkStart w:id="41" w:name="_Toc28243"/>
      <w:bookmarkStart w:id="42" w:name="_Toc15396609"/>
      <w:bookmarkStart w:id="43"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1"/>
      <w:bookmarkEnd w:id="42"/>
      <w:bookmarkEnd w:id="43"/>
    </w:p>
    <w:p w14:paraId="74FA22B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4"/>
    </w:p>
    <w:p w14:paraId="07FBBA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94.92</w:t>
      </w:r>
      <w:r>
        <w:rPr>
          <w:rFonts w:hint="eastAsia" w:ascii="Times New Roman" w:hAnsi="Times New Roman" w:eastAsia="仿宋_GB2312" w:cs="仿宋_GB2312"/>
          <w:color w:val="auto"/>
          <w:kern w:val="2"/>
          <w:sz w:val="32"/>
          <w:szCs w:val="32"/>
          <w:highlight w:val="none"/>
          <w:lang w:val="en-US" w:eastAsia="zh-CN" w:bidi="ar-SA"/>
        </w:rPr>
        <w:t>%，较上年度</w:t>
      </w:r>
      <w:r>
        <w:rPr>
          <w:rFonts w:hint="default"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0.51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15.41</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公务接待费的0.15万元未进行列支</w:t>
      </w:r>
      <w:r>
        <w:rPr>
          <w:rFonts w:hint="eastAsia" w:ascii="Times New Roman" w:hAnsi="Times New Roman" w:eastAsia="仿宋_GB2312" w:cs="仿宋_GB2312"/>
          <w:color w:val="auto"/>
          <w:kern w:val="2"/>
          <w:sz w:val="32"/>
          <w:szCs w:val="32"/>
          <w:highlight w:val="none"/>
          <w:lang w:val="en-US" w:eastAsia="zh-CN" w:bidi="ar-SA"/>
        </w:rPr>
        <w:t>。</w:t>
      </w:r>
    </w:p>
    <w:p w14:paraId="63834C1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5"/>
    </w:p>
    <w:p w14:paraId="5903F07F">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年度“三公”经费财政拨款支出决算中，因公出国（境）费支出决算0万元，占0%；公务用车购置及运行维护费支出决算</w:t>
      </w:r>
      <w:r>
        <w:rPr>
          <w:rFonts w:hint="eastAsia"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%；公务接待费支出决算0万元，占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28331F0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lang w:val="en-US" w:eastAsia="zh-CN"/>
        </w:rPr>
        <w:drawing>
          <wp:anchor distT="0" distB="0" distL="114300" distR="114300" simplePos="0" relativeHeight="251665408" behindDoc="0" locked="0" layoutInCell="1" allowOverlap="1">
            <wp:simplePos x="0" y="0"/>
            <wp:positionH relativeFrom="column">
              <wp:posOffset>306070</wp:posOffset>
            </wp:positionH>
            <wp:positionV relativeFrom="paragraph">
              <wp:posOffset>139700</wp:posOffset>
            </wp:positionV>
            <wp:extent cx="4817110" cy="2145665"/>
            <wp:effectExtent l="5080" t="4445" r="16510" b="21590"/>
            <wp:wrapTopAndBottom/>
            <wp:docPr id="18" name="图表 18" descr="7b0a202020202263686172745265734964223a202232303437353935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全年安排因公出国（境）团组0次，出国（境）0人</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因公出国（境）支出决算比上年度增加/减少</w:t>
      </w:r>
      <w:r>
        <w:rPr>
          <w:rFonts w:hint="eastAsia"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万元，增长/下降</w:t>
      </w:r>
      <w:r>
        <w:rPr>
          <w:rFonts w:hint="eastAsia"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w:t>
      </w:r>
    </w:p>
    <w:p w14:paraId="1F64667E">
      <w:pPr>
        <w:tabs>
          <w:tab w:val="left" w:pos="6510"/>
        </w:tabs>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w:t>
      </w:r>
      <w:r>
        <w:rPr>
          <w:rFonts w:hint="eastAsia" w:eastAsia="仿宋_GB2312" w:cs="Times New Roman"/>
          <w:b/>
          <w:bCs/>
          <w:color w:val="auto"/>
          <w:kern w:val="2"/>
          <w:sz w:val="32"/>
          <w:szCs w:val="32"/>
          <w:highlight w:val="none"/>
          <w:lang w:val="en-US" w:eastAsia="zh-CN" w:bidi="ar-SA"/>
        </w:rPr>
        <w:t>2.8</w:t>
      </w:r>
      <w:r>
        <w:rPr>
          <w:rFonts w:hint="default" w:ascii="Times New Roman" w:hAnsi="Times New Roman" w:eastAsia="仿宋_GB2312" w:cs="Times New Roman"/>
          <w:b/>
          <w:bCs/>
          <w:color w:val="auto"/>
          <w:kern w:val="2"/>
          <w:sz w:val="32"/>
          <w:szCs w:val="32"/>
          <w:highlight w:val="none"/>
          <w:lang w:val="en-US" w:eastAsia="zh-CN" w:bidi="ar-SA"/>
        </w:rPr>
        <w:t>万元，完成预算</w:t>
      </w:r>
      <w:r>
        <w:rPr>
          <w:rFonts w:hint="default" w:ascii="Times New Roman" w:hAnsi="Times New Roman" w:eastAsia="仿宋_GB2312" w:cs="Times New Roman"/>
          <w:color w:val="auto"/>
          <w:kern w:val="2"/>
          <w:sz w:val="32"/>
          <w:szCs w:val="32"/>
          <w:highlight w:val="none"/>
          <w:lang w:val="en-US" w:eastAsia="zh-CN" w:bidi="ar-SA"/>
        </w:rPr>
        <w:t>100%。公务用车购置及运行维护费支出决算比202</w:t>
      </w:r>
      <w:r>
        <w:rPr>
          <w:rFonts w:hint="eastAsia"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年度减少</w:t>
      </w:r>
      <w:r>
        <w:rPr>
          <w:rFonts w:hint="eastAsia" w:eastAsia="仿宋_GB2312" w:cs="Times New Roman"/>
          <w:color w:val="auto"/>
          <w:kern w:val="2"/>
          <w:sz w:val="32"/>
          <w:szCs w:val="32"/>
          <w:highlight w:val="none"/>
          <w:lang w:val="en-US" w:eastAsia="zh-CN" w:bidi="ar-SA"/>
        </w:rPr>
        <w:t>0.36</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eastAsia="仿宋_GB2312" w:cs="Times New Roman"/>
          <w:color w:val="auto"/>
          <w:kern w:val="2"/>
          <w:sz w:val="32"/>
          <w:szCs w:val="32"/>
          <w:highlight w:val="none"/>
          <w:lang w:val="en-US" w:eastAsia="zh-CN" w:bidi="ar-SA"/>
        </w:rPr>
        <w:t>11.39</w:t>
      </w:r>
      <w:r>
        <w:rPr>
          <w:rFonts w:hint="default" w:ascii="Times New Roman" w:hAnsi="Times New Roman" w:eastAsia="仿宋_GB2312" w:cs="Times New Roman"/>
          <w:color w:val="auto"/>
          <w:kern w:val="2"/>
          <w:sz w:val="32"/>
          <w:szCs w:val="32"/>
          <w:highlight w:val="none"/>
          <w:lang w:val="en-US" w:eastAsia="zh-CN" w:bidi="ar-SA"/>
        </w:rPr>
        <w:t>%。主要原因是厉行节约。</w:t>
      </w:r>
    </w:p>
    <w:p w14:paraId="7EE56D8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w:t>
      </w:r>
    </w:p>
    <w:p w14:paraId="748AAA6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w:t>
      </w:r>
      <w:r>
        <w:rPr>
          <w:rFonts w:hint="eastAsia" w:eastAsia="仿宋_GB2312" w:cs="Times New Roman"/>
          <w:color w:val="auto"/>
          <w:kern w:val="2"/>
          <w:sz w:val="32"/>
          <w:szCs w:val="32"/>
          <w:highlight w:val="none"/>
          <w:lang w:val="en-US" w:eastAsia="zh-CN" w:bidi="ar-SA"/>
        </w:rPr>
        <w:t>2025</w:t>
      </w:r>
      <w:r>
        <w:rPr>
          <w:rFonts w:hint="default" w:ascii="Times New Roman" w:hAnsi="Times New Roman" w:eastAsia="仿宋_GB2312" w:cs="Times New Roman"/>
          <w:color w:val="auto"/>
          <w:kern w:val="2"/>
          <w:sz w:val="32"/>
          <w:szCs w:val="32"/>
          <w:highlight w:val="none"/>
          <w:lang w:val="en-US" w:eastAsia="zh-CN" w:bidi="ar-SA"/>
        </w:rPr>
        <w:t>年12月31日，单位共有公务用车3辆，其中：轿车0辆、越野车1辆、其他车辆2辆。</w:t>
      </w:r>
    </w:p>
    <w:p w14:paraId="14C8387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eastAsia" w:eastAsia="仿宋_GB2312" w:cs="Times New Roman"/>
          <w:color w:val="auto"/>
          <w:kern w:val="2"/>
          <w:sz w:val="32"/>
          <w:szCs w:val="32"/>
          <w:highlight w:val="none"/>
          <w:lang w:val="en-US" w:eastAsia="zh-CN" w:bidi="ar-SA"/>
        </w:rPr>
        <w:t>2.8</w:t>
      </w:r>
      <w:r>
        <w:rPr>
          <w:rFonts w:hint="default" w:ascii="Times New Roman" w:hAnsi="Times New Roman" w:eastAsia="仿宋_GB2312" w:cs="Times New Roman"/>
          <w:color w:val="auto"/>
          <w:kern w:val="2"/>
          <w:sz w:val="32"/>
          <w:szCs w:val="32"/>
          <w:highlight w:val="none"/>
          <w:lang w:val="en-US" w:eastAsia="zh-CN" w:bidi="ar-SA"/>
        </w:rPr>
        <w:t>万元。主要用于乡村振兴、产业发展等公务活动所需的公务用车燃料费、维修费、过路过桥费等支出。</w:t>
      </w:r>
    </w:p>
    <w:p w14:paraId="28EF62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w:t>
      </w:r>
      <w:r>
        <w:rPr>
          <w:rFonts w:hint="eastAsia" w:eastAsia="仿宋_GB2312" w:cs="Times New Roman"/>
          <w:b/>
          <w:bCs/>
          <w:color w:val="auto"/>
          <w:kern w:val="2"/>
          <w:sz w:val="32"/>
          <w:szCs w:val="32"/>
          <w:highlight w:val="none"/>
          <w:lang w:val="en-US" w:eastAsia="zh-CN" w:bidi="ar-SA"/>
        </w:rPr>
        <w:t>0</w:t>
      </w:r>
      <w:r>
        <w:rPr>
          <w:rFonts w:hint="default" w:ascii="Times New Roman" w:hAnsi="Times New Roman" w:eastAsia="仿宋_GB2312" w:cs="Times New Roman"/>
          <w:b/>
          <w:bCs/>
          <w:color w:val="auto"/>
          <w:kern w:val="2"/>
          <w:sz w:val="32"/>
          <w:szCs w:val="32"/>
          <w:highlight w:val="none"/>
          <w:lang w:val="en-US" w:eastAsia="zh-CN" w:bidi="ar-SA"/>
        </w:rPr>
        <w:t>万元，完成预算</w:t>
      </w:r>
      <w:r>
        <w:rPr>
          <w:rFonts w:hint="eastAsia" w:eastAsia="仿宋_GB2312" w:cs="Times New Roman"/>
          <w:b/>
          <w:bCs/>
          <w:color w:val="auto"/>
          <w:kern w:val="2"/>
          <w:sz w:val="32"/>
          <w:szCs w:val="32"/>
          <w:highlight w:val="none"/>
          <w:lang w:val="en-US" w:eastAsia="zh-CN" w:bidi="ar-SA"/>
        </w:rPr>
        <w:t>0</w:t>
      </w:r>
      <w:r>
        <w:rPr>
          <w:rFonts w:hint="default" w:ascii="Times New Roman" w:hAnsi="Times New Roman" w:eastAsia="仿宋_GB2312" w:cs="Times New Roman"/>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0.15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厉行节约，减少公务接待开支，因此本年未进行公务接待</w:t>
      </w:r>
      <w:r>
        <w:rPr>
          <w:rFonts w:hint="eastAsia" w:ascii="Times New Roman" w:hAnsi="Times New Roman" w:eastAsia="仿宋_GB2312" w:cs="仿宋_GB2312"/>
          <w:color w:val="auto"/>
          <w:kern w:val="2"/>
          <w:sz w:val="32"/>
          <w:szCs w:val="32"/>
          <w:highlight w:val="none"/>
          <w:lang w:val="en-US" w:eastAsia="zh-CN" w:bidi="ar-SA"/>
        </w:rPr>
        <w:t>。其中：</w:t>
      </w:r>
    </w:p>
    <w:p w14:paraId="2A9BA0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。国内公务接待0批次，0人次（不包括陪同人员），共计支出0万元</w:t>
      </w:r>
    </w:p>
    <w:p w14:paraId="4651AC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外事接待支出0万元。外事接待0批次，0人次（不包括陪同人员），共计支出0万元。</w:t>
      </w:r>
      <w:bookmarkStart w:id="46" w:name="_Toc15377218"/>
      <w:bookmarkStart w:id="47" w:name="_Toc15396610"/>
    </w:p>
    <w:p w14:paraId="21207E08">
      <w:pPr>
        <w:spacing w:line="600" w:lineRule="exact"/>
        <w:ind w:firstLine="640"/>
        <w:outlineLvl w:val="1"/>
        <w:rPr>
          <w:rStyle w:val="30"/>
          <w:rFonts w:ascii="Times New Roman" w:hAnsi="Times New Roman" w:eastAsia="黑体"/>
          <w:color w:val="auto"/>
          <w:highlight w:val="none"/>
        </w:rPr>
      </w:pPr>
      <w:bookmarkStart w:id="48" w:name="_Toc27958"/>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6"/>
      <w:bookmarkEnd w:id="47"/>
      <w:bookmarkEnd w:id="48"/>
    </w:p>
    <w:p w14:paraId="7E5CDB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年度政府性基金预算财政拨款支出0万元，占本年支出合计的0%。与上年度相比，政府性基金预算财政拨款支出增加/减少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B628EF7">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9" w:name="_Toc15377219"/>
      <w:bookmarkStart w:id="50" w:name="_Toc24221"/>
      <w:bookmarkStart w:id="51"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9"/>
      <w:bookmarkEnd w:id="50"/>
      <w:bookmarkEnd w:id="51"/>
    </w:p>
    <w:p w14:paraId="2CA803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default" w:ascii="Times New Roman" w:hAnsi="Times New Roman" w:eastAsia="仿宋_GB2312" w:cs="Times New Roman"/>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w:t>
      </w:r>
      <w:r>
        <w:rPr>
          <w:rFonts w:hint="eastAsia" w:ascii="Times New Roman" w:hAnsi="Times New Roman" w:eastAsia="仿宋_GB2312" w:cs="仿宋_GB2312"/>
          <w:color w:val="auto"/>
          <w:kern w:val="2"/>
          <w:sz w:val="32"/>
          <w:szCs w:val="32"/>
          <w:highlight w:val="none"/>
          <w:lang w:val="en-US" w:eastAsia="zh-CN" w:bidi="ar-SA"/>
        </w:rPr>
        <w:t>出合计的0%。与上年度相比，国有资本经营预算财政拨款支出增加/减少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6A4A309">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2" w:name="_Toc15396612"/>
      <w:bookmarkStart w:id="53" w:name="_Toc27493"/>
      <w:bookmarkStart w:id="54"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2"/>
      <w:bookmarkEnd w:id="53"/>
      <w:bookmarkEnd w:id="54"/>
    </w:p>
    <w:p w14:paraId="0B96A5F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5" w:name="_Toc15377222"/>
      <w:r>
        <w:rPr>
          <w:rFonts w:hint="eastAsia" w:ascii="Times New Roman" w:hAnsi="Times New Roman" w:eastAsia="楷体_GB2312" w:cs="楷体_GB2312"/>
          <w:b/>
          <w:color w:val="auto"/>
          <w:sz w:val="32"/>
          <w:szCs w:val="32"/>
          <w:highlight w:val="none"/>
        </w:rPr>
        <w:t>（一）机关运行经费支出情况</w:t>
      </w:r>
      <w:bookmarkEnd w:id="55"/>
    </w:p>
    <w:p w14:paraId="2A1BAA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年度，沐川县高笋乡人民政府机关运行经费支出</w:t>
      </w:r>
      <w:r>
        <w:rPr>
          <w:rFonts w:hint="eastAsia" w:eastAsia="仿宋_GB2312" w:cs="仿宋_GB2312"/>
          <w:color w:val="auto"/>
          <w:kern w:val="2"/>
          <w:sz w:val="32"/>
          <w:szCs w:val="32"/>
          <w:highlight w:val="none"/>
          <w:lang w:val="en-US" w:eastAsia="zh-CN" w:bidi="ar-SA"/>
        </w:rPr>
        <w:t>82.32</w:t>
      </w:r>
      <w:r>
        <w:rPr>
          <w:rFonts w:hint="eastAsia" w:ascii="Times New Roman" w:hAnsi="Times New Roman" w:eastAsia="仿宋_GB2312" w:cs="仿宋_GB2312"/>
          <w:color w:val="auto"/>
          <w:kern w:val="2"/>
          <w:sz w:val="32"/>
          <w:szCs w:val="32"/>
          <w:highlight w:val="none"/>
          <w:lang w:val="en-US" w:eastAsia="zh-CN" w:bidi="ar-SA"/>
        </w:rPr>
        <w:t>万元，比202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增加8.02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增长10.79</w:t>
      </w:r>
      <w:r>
        <w:rPr>
          <w:rFonts w:hint="eastAsia" w:ascii="Times New Roman" w:hAnsi="Times New Roman" w:eastAsia="仿宋_GB2312" w:cs="仿宋_GB2312"/>
          <w:color w:val="auto"/>
          <w:kern w:val="2"/>
          <w:sz w:val="32"/>
          <w:szCs w:val="32"/>
          <w:highlight w:val="none"/>
          <w:lang w:val="en-US" w:eastAsia="zh-CN" w:bidi="ar-SA"/>
        </w:rPr>
        <w:t>%。主要原因是公务活动增多，增加运行经费。</w:t>
      </w:r>
    </w:p>
    <w:p w14:paraId="215472A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6" w:name="_Toc15377223"/>
      <w:r>
        <w:rPr>
          <w:rFonts w:hint="eastAsia" w:ascii="Times New Roman" w:hAnsi="Times New Roman" w:eastAsia="楷体_GB2312" w:cs="楷体_GB2312"/>
          <w:b/>
          <w:color w:val="auto"/>
          <w:sz w:val="32"/>
          <w:szCs w:val="32"/>
          <w:highlight w:val="none"/>
        </w:rPr>
        <w:t>（二）政府采购支出情况</w:t>
      </w:r>
      <w:bookmarkEnd w:id="56"/>
    </w:p>
    <w:p w14:paraId="49BC0A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沐川县高笋乡人民政府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65FBD0D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24"/>
      <w:r>
        <w:rPr>
          <w:rFonts w:hint="eastAsia" w:ascii="Times New Roman" w:hAnsi="Times New Roman" w:eastAsia="楷体_GB2312" w:cs="楷体_GB2312"/>
          <w:b/>
          <w:color w:val="auto"/>
          <w:sz w:val="32"/>
          <w:szCs w:val="32"/>
          <w:highlight w:val="none"/>
        </w:rPr>
        <w:t>（三）国有资产占有使用情况</w:t>
      </w:r>
      <w:bookmarkEnd w:id="57"/>
    </w:p>
    <w:p w14:paraId="7CE863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沐川县高笋乡人民政府共有车辆3辆，其中：主要负责人用车0辆、机要通信用车0辆、应急保障用车0辆、其他用车3辆，其他用车主要是用于公务往返、农技服务中心农业用车、抗旱及森林防灭火洒水车。单价100万元（含）以上设备（不含车辆）0台（套）。</w:t>
      </w:r>
    </w:p>
    <w:p w14:paraId="2B730A1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C660E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根据预算绩效管理要求，高笋乡在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人大主席团经费、乡镇人代会会议费、高笋乡2025县人大代表之家运行经费、高笋乡2025县人大代表活动经费、人大代表活动经费、十八届人大代表工作经费、政协乡镇联络站工作经费、村（社区）“有事来协商”工作经费、存量资金、乐山市金石焦化有限公司捐赠资金、静云村党群服务中心建设资金（诸暨捐赠资金）、乡镇民兵业务经费、乡镇普法依法治理经费、2025年免开县级资金、乡镇老协活动经费、困难群众临时救助资金、村级公共服务经费-服务群众-“一村一警”补贴、社区干部养老保险、医疗保险、居民小组长小额保险、村级公共服务经费-公共运维-农村生活垃圾治理经费、村级公共服务经费-公共运维-社区环境治理经费、村组干部报酬、绩效考核奖励经费、第一书记和工作队工作经费、村级公共服务经费-办公运转、基层活动-报刊费、村干部养老保险、医疗保险、村民小组长小额保险、社区干部居民小组长报酬、绩效考核奖励经费、村级公共服务经费-服务群众-社区网格员补贴、村级公共服务经费-公共运维-村级运维经费、村级公共服务经费-办公运转、基层活动-办公经费、自然灾害短期应急避让补助等29个项目开展了预算事前绩效评估，对</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26898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年度沐川县高笋乡人民政府预算</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个专项项目，包括组织对</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政府性基金预算、国有资本经营预算、社会保险基金预算以及资本资产、债券资金等全面开展绩效自评，形成高笋乡部门整体（含部门预算项目）绩效自评报告、高笋乡等专项预算项目绩效自评报告，其中，高笋乡部门整体（含部门预算项目）绩效自评得分为100分；高笋乡专项预算项目绩效自评得分为100分。绩效自评报告详见附件。</w:t>
      </w:r>
    </w:p>
    <w:p w14:paraId="2C2EAFDC">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14:paraId="738EFE1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8" w:name="_Toc15377225"/>
      <w:bookmarkStart w:id="59" w:name="_Toc24711"/>
      <w:bookmarkStart w:id="6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8"/>
      <w:bookmarkEnd w:id="59"/>
      <w:bookmarkEnd w:id="60"/>
    </w:p>
    <w:p w14:paraId="65838A73">
      <w:pPr>
        <w:spacing w:line="600" w:lineRule="exact"/>
        <w:jc w:val="left"/>
        <w:rPr>
          <w:rFonts w:ascii="Times New Roman" w:hAnsi="Times New Roman"/>
          <w:b/>
          <w:color w:val="auto"/>
          <w:sz w:val="44"/>
          <w:szCs w:val="44"/>
          <w:highlight w:val="none"/>
        </w:rPr>
      </w:pPr>
    </w:p>
    <w:p w14:paraId="05AAF0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 财政拨款收入：指单位从同级财政部门取得的财政</w:t>
      </w:r>
    </w:p>
    <w:p w14:paraId="5CDA3B98">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预算资金。</w:t>
      </w:r>
    </w:p>
    <w:p w14:paraId="6D1D146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 事业收入：指事业单位开展专业业务活动及辅助活</w:t>
      </w:r>
    </w:p>
    <w:p w14:paraId="3ACE5864">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动取得的收入。</w:t>
      </w:r>
    </w:p>
    <w:p w14:paraId="47344B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 经营收入：指事业单位在专业业务活动及其辅助活</w:t>
      </w:r>
    </w:p>
    <w:p w14:paraId="1E57A600">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动之外开展非独立核算经营活动取得的收入。</w:t>
      </w:r>
    </w:p>
    <w:p w14:paraId="428667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 其他收入：指单位取得的除上述收入以外的各项收入。</w:t>
      </w:r>
    </w:p>
    <w:p w14:paraId="2CB97D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 使用非财政拨款结余（含专用结余）：指事业单位使用以前年度积累的非财政拨款结余弥补当年收支差额的金额。</w:t>
      </w:r>
    </w:p>
    <w:p w14:paraId="7D9D9A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 年初结转和结余：指以前年度尚未完成、结转到本</w:t>
      </w:r>
    </w:p>
    <w:p w14:paraId="60C18686">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按有关规定继续使用的资金。</w:t>
      </w:r>
    </w:p>
    <w:p w14:paraId="4653442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 结余分配：指事业单位按照会计制度规定缴纳的所</w:t>
      </w:r>
    </w:p>
    <w:p w14:paraId="27F7D0A9">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得税、提取的专用结余以及转入非财政拨款结余的金额等。</w:t>
      </w:r>
    </w:p>
    <w:p w14:paraId="064E31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 年末结转和结余：指单位按有关规定结转到下年或</w:t>
      </w:r>
    </w:p>
    <w:p w14:paraId="31F91183">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以后年度继续使用的资金。</w:t>
      </w:r>
    </w:p>
    <w:p w14:paraId="3FCD51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 一般公共服务（类）人大事务（款）人大会议（项）：</w:t>
      </w:r>
    </w:p>
    <w:p w14:paraId="3F65D6BB">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反映各级人大召开人民代表大会等专门会议的支出。</w:t>
      </w:r>
    </w:p>
    <w:p w14:paraId="428911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 一般公共服务（类）人大事务（款）代表工作（项）：</w:t>
      </w:r>
    </w:p>
    <w:p w14:paraId="603F1DDC">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反映人大代表开展各类视察等方面的支出。</w:t>
      </w:r>
    </w:p>
    <w:p w14:paraId="2EF55A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 一般公共服务（类）政协事务（款）一般行政管理</w:t>
      </w:r>
    </w:p>
    <w:p w14:paraId="34F4E6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BFD3D4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事务（项）：反映行政单位（包括实行公务员管理的事业单</w:t>
      </w:r>
    </w:p>
    <w:p w14:paraId="54D63734">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未单独设置项级科目的其他项目支出。</w:t>
      </w:r>
    </w:p>
    <w:p w14:paraId="3A7901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 一般公共服务（类）政协事务（款）其他政协事务</w:t>
      </w:r>
    </w:p>
    <w:p w14:paraId="61217579">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支出（项）：反映除上述项目以外的其他政协事务支出。</w:t>
      </w:r>
    </w:p>
    <w:p w14:paraId="68DBF8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 一般公共服务（类）政府办公厅（室）及相关机构</w:t>
      </w:r>
    </w:p>
    <w:p w14:paraId="1DFBDE13">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事务（款）行政运行（项）：反映行政单位（包括实行公务</w:t>
      </w:r>
    </w:p>
    <w:p w14:paraId="134F68E4">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员管理的事业单位）的基本支出。</w:t>
      </w:r>
    </w:p>
    <w:p w14:paraId="0E039F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 一般公共服务（类）政府办公厅（室）及相关机构</w:t>
      </w:r>
    </w:p>
    <w:p w14:paraId="2D3A9708">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事务（款）一般行政管理事务（项）：反映行政单位（包括</w:t>
      </w:r>
    </w:p>
    <w:p w14:paraId="6FA5C7CB">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实行公务员管理的事业单位）未单独设置项级科目的其他项</w:t>
      </w:r>
    </w:p>
    <w:p w14:paraId="430DD64D">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目支出。</w:t>
      </w:r>
    </w:p>
    <w:p w14:paraId="29BE1141">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 一般公共服务（类）政府办公厅（室）及相关机构</w:t>
      </w:r>
    </w:p>
    <w:p w14:paraId="1A1EF8F0">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事务（款）事业运行（项）：反映事业单位的基本支出，不包括行政单位（包括实行公务员管理的事业单位）后勤服务中心、医务室等附属事业单位。</w:t>
      </w:r>
    </w:p>
    <w:p w14:paraId="644C371F">
      <w:p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 一般公共服务（类）信访事务（款）信访业务（项）：反映各级政府用于接待群众来信来访方面的支出。</w:t>
      </w:r>
    </w:p>
    <w:p w14:paraId="07ABB4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 国防支出（类）国防动员（款）民兵（项）：反映用于民兵建设与管理等方面的支出。</w:t>
      </w:r>
    </w:p>
    <w:p w14:paraId="186E58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 公共安全支出（类）司法（款）普法宣传（项）：</w:t>
      </w:r>
    </w:p>
    <w:p w14:paraId="7ED0D1A7">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反映各级司法行政部门用于组织各种媒体的宣传、普法装备</w:t>
      </w:r>
    </w:p>
    <w:p w14:paraId="1FFD075E">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与设施、宣传资料、对外宣传、法制作品的审读评审等方面</w:t>
      </w:r>
    </w:p>
    <w:p w14:paraId="780EC44E">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的支出。</w:t>
      </w:r>
    </w:p>
    <w:p w14:paraId="7100506C">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 文化旅游体育与传媒支出（类）文化和旅游（款）</w:t>
      </w:r>
    </w:p>
    <w:p w14:paraId="693EC44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群众文化（项）：反映群众文化方面的支出，包括基层文化馆（站）、群众艺术馆支出等。</w:t>
      </w:r>
    </w:p>
    <w:p w14:paraId="31457ED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 文化旅游体育与传媒支出（类）文化和旅游（款）</w:t>
      </w:r>
    </w:p>
    <w:p w14:paraId="71FD113F">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其他文化和旅游支出（项）：反映除上述项目以外其他用于文化和旅游方面的支出。</w:t>
      </w:r>
    </w:p>
    <w:p w14:paraId="2DFB63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 社会保障和就业支出（类）行政事业单位养老支出（款）机关事业单位基本养老保险缴费支出（项）：反映机关事业单位实施养老保险制度由单位缴纳的基本养老保险费支出。</w:t>
      </w:r>
    </w:p>
    <w:p w14:paraId="2CB333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 社会保障和就业支出（类）行政事业单位养老支出（款）机关事业单位职业年金缴费支出（项）：反映机关事业单位实施养老保险制度由单位实际缴纳的职业年金支出（含职业年金补记支出）。</w:t>
      </w:r>
    </w:p>
    <w:p w14:paraId="529F0F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社会保障和就业支出（类）临时救助（款）临时救助支出（项）：反映用于城乡生活困难居民的临时救助支出。</w:t>
      </w:r>
    </w:p>
    <w:p w14:paraId="2D5A83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社会保障和就业支出（类）其他社会保障和就业支出（款）其他社会保障和就业支出（项）：反映除上述项目以外其他用于社会保障和就业方面的支出。</w:t>
      </w:r>
    </w:p>
    <w:p w14:paraId="016F6BAA">
      <w:pPr>
        <w:spacing w:line="600" w:lineRule="exact"/>
        <w:ind w:firstLine="640"/>
        <w:rPr>
          <w:rFonts w:hint="default" w:ascii="Times New Roman" w:hAnsi="Times New Roman"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25. 卫生健康支出（类）公共卫生（款）其他公共卫生支出（项）：反映</w:t>
      </w:r>
      <w:r>
        <w:rPr>
          <w:rFonts w:hint="default" w:eastAsia="仿宋_GB2312" w:cs="仿宋_GB2312"/>
          <w:color w:val="auto"/>
          <w:kern w:val="2"/>
          <w:sz w:val="32"/>
          <w:szCs w:val="32"/>
          <w:highlight w:val="none"/>
          <w:lang w:eastAsia="zh-CN" w:bidi="ar-SA"/>
        </w:rPr>
        <w:t>除上述项目以外的其他用于公共卫生方面的支出。</w:t>
      </w:r>
    </w:p>
    <w:p w14:paraId="20E794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 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14:paraId="725D61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 卫生健康支出（类）行政事业单位医疗（款）事业单位医疗（项）：反映财政部门安排的事业单位基本医疗保险缴费经费，未参加医疗保险的事业单位的公费医疗经费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按国家规定享受离休人员待遇的医疗经费。</w:t>
      </w:r>
    </w:p>
    <w:p w14:paraId="014B3A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 卫生健康支出（类）行政事业单位医疗（款）公务员医疗补助（项）：反映财政部门安排的公务员医疗补助经费。</w:t>
      </w:r>
    </w:p>
    <w:p w14:paraId="2E706F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 卫生健康支出（类）老龄卫生健康事务（款）老龄卫生健康事务（项）：反映老龄卫生健康事务方面的支出。</w:t>
      </w:r>
    </w:p>
    <w:p w14:paraId="349CD7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30</w:t>
      </w:r>
      <w:r>
        <w:rPr>
          <w:rFonts w:hint="eastAsia" w:ascii="Times New Roman" w:hAnsi="Times New Roman" w:eastAsia="仿宋_GB2312" w:cs="仿宋_GB2312"/>
          <w:color w:val="auto"/>
          <w:kern w:val="2"/>
          <w:sz w:val="32"/>
          <w:szCs w:val="32"/>
          <w:highlight w:val="none"/>
          <w:lang w:val="en-US" w:eastAsia="zh-CN" w:bidi="ar-SA"/>
        </w:rPr>
        <w:t>. 农林水支出（类）巩固拓展脱贫攻坚成果衔接乡村振兴（款）其他巩固拓展脱贫攻坚成果衔接乡村振兴支出（项）：反映除上述项目以外其他用于巩固拓展脱贫攻坚成果同乡村振兴有效衔接方面的支出。</w:t>
      </w:r>
    </w:p>
    <w:p w14:paraId="1377C9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31</w:t>
      </w:r>
      <w:r>
        <w:rPr>
          <w:rFonts w:hint="eastAsia" w:ascii="Times New Roman" w:hAnsi="Times New Roman" w:eastAsia="仿宋_GB2312" w:cs="仿宋_GB2312"/>
          <w:color w:val="auto"/>
          <w:kern w:val="2"/>
          <w:sz w:val="32"/>
          <w:szCs w:val="32"/>
          <w:highlight w:val="none"/>
          <w:lang w:val="en-US" w:eastAsia="zh-CN" w:bidi="ar-SA"/>
        </w:rPr>
        <w:t>. 农林水支出（类）农村综合改革（款）对村民委员会和村党支部的补助（项）：反映各级财政对村民委员会和村党支部的补助支出，以及支持建立县级基本财力保障机制安排的村级组织运转奖补资金。</w:t>
      </w:r>
    </w:p>
    <w:p w14:paraId="4BBAEC7D">
      <w:pPr>
        <w:spacing w:line="600" w:lineRule="exact"/>
        <w:ind w:firstLine="640"/>
        <w:rPr>
          <w:rFonts w:hint="default" w:eastAsia="仿宋_GB2312" w:cs="仿宋_GB2312"/>
          <w:color w:val="auto"/>
          <w:kern w:val="2"/>
          <w:sz w:val="32"/>
          <w:szCs w:val="32"/>
          <w:highlight w:val="none"/>
          <w:lang w:eastAsia="zh-CN" w:bidi="ar-SA"/>
        </w:rPr>
      </w:pPr>
      <w:r>
        <w:rPr>
          <w:rFonts w:hint="eastAsia" w:ascii="Times New Roman" w:hAnsi="Times New Roman" w:eastAsia="仿宋_GB2312" w:cs="仿宋_GB2312"/>
          <w:color w:val="auto"/>
          <w:kern w:val="2"/>
          <w:sz w:val="32"/>
          <w:szCs w:val="32"/>
          <w:highlight w:val="none"/>
          <w:lang w:val="en-US" w:eastAsia="zh-CN" w:bidi="ar-SA"/>
        </w:rPr>
        <w:t>32. 交通运输支出（类）公路水路运输（款）水路运输管理支出（项）：反映</w:t>
      </w:r>
      <w:r>
        <w:rPr>
          <w:rFonts w:hint="default" w:eastAsia="仿宋_GB2312" w:cs="仿宋_GB2312"/>
          <w:color w:val="auto"/>
          <w:kern w:val="2"/>
          <w:sz w:val="32"/>
          <w:szCs w:val="32"/>
          <w:highlight w:val="none"/>
          <w:lang w:eastAsia="zh-CN" w:bidi="ar-SA"/>
        </w:rPr>
        <w:t>水路运输管理方面</w:t>
      </w:r>
      <w:r>
        <w:rPr>
          <w:rFonts w:hint="eastAsia" w:eastAsia="仿宋_GB2312" w:cs="仿宋_GB2312"/>
          <w:color w:val="auto"/>
          <w:kern w:val="2"/>
          <w:sz w:val="32"/>
          <w:szCs w:val="32"/>
          <w:highlight w:val="none"/>
          <w:lang w:eastAsia="zh-CN" w:bidi="ar-SA"/>
        </w:rPr>
        <w:t>的支出。</w:t>
      </w:r>
    </w:p>
    <w:p w14:paraId="00629E17">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33. 资源勘探工业信息等支出（类）制造业（款）行政运行（项）：反映</w:t>
      </w:r>
      <w:r>
        <w:rPr>
          <w:rFonts w:hint="eastAsia" w:eastAsia="仿宋_GB2312" w:cs="仿宋_GB2312"/>
          <w:color w:val="auto"/>
          <w:kern w:val="2"/>
          <w:sz w:val="32"/>
          <w:szCs w:val="32"/>
          <w:highlight w:val="none"/>
          <w:lang w:val="en-US" w:eastAsia="zh-CN" w:bidi="ar-SA"/>
        </w:rPr>
        <w:t>行政单位（包括实行公务员管理的事业单位的基本支出）。</w:t>
      </w:r>
    </w:p>
    <w:p w14:paraId="6BCE71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住房保障支出（类）住房改革支出（款）住房公积金（项）：反映行政事业单位按人力资源和社会保障部、财政部规定的基本工资和津贴补贴以及规定比例为职工缴纳的住房公积金。</w:t>
      </w:r>
    </w:p>
    <w:p w14:paraId="5F470D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 灾害防治及应急管理支出（类）应急管理事务（款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安全监管（项）：反映安全生产综合监督管理和工贸行业安全生产监督管理等方面的支出。</w:t>
      </w:r>
    </w:p>
    <w:p w14:paraId="34B46D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 灾害防治及应急管理支出（类）自然灾害救灾及恢复重建支出（款）其他自然灾害救灾及恢复重建支出（项）：反映除上述项目以外其他用于自然灾害救灾、灾后恢复重建等方面的支出。</w:t>
      </w:r>
    </w:p>
    <w:p w14:paraId="53246D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 基本支出：指为保障机构正常运转、完成日常工作任务而发生的人员支出和公用支出。</w:t>
      </w:r>
    </w:p>
    <w:p w14:paraId="7F31C3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 项目支出：指在基本支出之外为完成特定行政任务和事业发展目标所发生的支出。</w:t>
      </w:r>
    </w:p>
    <w:p w14:paraId="37BD12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 经营支出：指事业单位在专业业务活动及其辅助活动之外开展非独立核算经营活动发生的支出。</w:t>
      </w:r>
    </w:p>
    <w:p w14:paraId="7578D2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40</w:t>
      </w:r>
      <w:r>
        <w:rPr>
          <w:rFonts w:hint="eastAsia" w:ascii="Times New Roman" w:hAnsi="Times New Roman" w:eastAsia="仿宋_GB2312" w:cs="仿宋_GB2312"/>
          <w:color w:val="auto"/>
          <w:kern w:val="2"/>
          <w:sz w:val="32"/>
          <w:szCs w:val="32"/>
          <w:highlight w:val="none"/>
          <w:lang w:val="en-US" w:eastAsia="zh-CN" w:bidi="ar-SA"/>
        </w:rPr>
        <w:t>. “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车辆购置税）及租用费、燃料费、维修费、过路过桥费、保险费等支出；公务接待费反映单位按规定开支的各类公务</w:t>
      </w:r>
      <w:r>
        <w:rPr>
          <w:rFonts w:hint="eastAsia" w:eastAsia="仿宋_GB2312" w:cs="仿宋_GB2312"/>
          <w:color w:val="auto"/>
          <w:kern w:val="2"/>
          <w:sz w:val="32"/>
          <w:szCs w:val="32"/>
          <w:highlight w:val="none"/>
          <w:lang w:val="en-US" w:eastAsia="zh-CN" w:bidi="ar-SA"/>
        </w:rPr>
        <w:t>接</w:t>
      </w:r>
      <w:r>
        <w:rPr>
          <w:rFonts w:hint="eastAsia" w:ascii="Times New Roman" w:hAnsi="Times New Roman" w:eastAsia="仿宋_GB2312" w:cs="仿宋_GB2312"/>
          <w:color w:val="auto"/>
          <w:kern w:val="2"/>
          <w:sz w:val="32"/>
          <w:szCs w:val="32"/>
          <w:highlight w:val="none"/>
          <w:lang w:val="en-US" w:eastAsia="zh-CN" w:bidi="ar-SA"/>
        </w:rPr>
        <w:t>待（含外宾接待）支出。</w:t>
      </w:r>
    </w:p>
    <w:p w14:paraId="7D6C0B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41</w:t>
      </w:r>
      <w:r>
        <w:rPr>
          <w:rFonts w:hint="eastAsia" w:ascii="Times New Roman" w:hAnsi="Times New Roman" w:eastAsia="仿宋_GB2312" w:cs="仿宋_GB2312"/>
          <w:color w:val="auto"/>
          <w:kern w:val="2"/>
          <w:sz w:val="32"/>
          <w:szCs w:val="32"/>
          <w:highlight w:val="none"/>
          <w:lang w:val="en-US" w:eastAsia="zh-CN" w:bidi="ar-SA"/>
        </w:rPr>
        <w:t>. 机关运行经费：为保障行政单位（含参照公务员法管理的事业单位）运行用于购买货物和服务的各项资金，包括办公及印刷费、邮电费、差旅费、会议费、福利费、日常维修费、专用材料及一般设备购置费、办公用房水电费、公务用车运行维护费</w:t>
      </w:r>
      <w:r>
        <w:rPr>
          <w:rFonts w:hint="eastAsia" w:eastAsia="仿宋_GB2312" w:cs="仿宋_GB2312"/>
          <w:color w:val="auto"/>
          <w:kern w:val="2"/>
          <w:sz w:val="32"/>
          <w:szCs w:val="32"/>
          <w:highlight w:val="none"/>
          <w:lang w:val="en-US" w:eastAsia="zh-CN" w:bidi="ar-SA"/>
        </w:rPr>
        <w:t>以及其他费用。</w:t>
      </w:r>
    </w:p>
    <w:p w14:paraId="5608B5D0">
      <w:pPr>
        <w:spacing w:line="600" w:lineRule="exact"/>
        <w:jc w:val="center"/>
        <w:rPr>
          <w:rStyle w:val="29"/>
          <w:rFonts w:hint="eastAsia" w:ascii="Times New Roman" w:hAnsi="Times New Roman" w:eastAsia="黑体"/>
          <w:b w:val="0"/>
          <w:color w:val="auto"/>
          <w:highlight w:val="none"/>
          <w:lang w:eastAsia="zh-CN"/>
        </w:rPr>
      </w:pPr>
      <w:bookmarkStart w:id="6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2"/>
    </w:p>
    <w:p w14:paraId="544C365D">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381AE5B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443A433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Times New Roman" w:hAnsi="Times New Roman" w:eastAsia="方正小标宋简体" w:cs="Times New Roman"/>
          <w:b w:val="0"/>
          <w:bCs/>
          <w:sz w:val="44"/>
          <w:szCs w:val="44"/>
          <w:highlight w:val="none"/>
          <w:shd w:val="clear" w:color="auto" w:fill="FFFFFF"/>
          <w:lang w:eastAsia="zh-CN"/>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4419CBE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color w:val="auto"/>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335A2073">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auto"/>
          <w:kern w:val="0"/>
          <w:sz w:val="24"/>
          <w:szCs w:val="32"/>
          <w:highlight w:val="none"/>
          <w:shd w:val="clear" w:color="auto" w:fill="FFFFFF"/>
        </w:rPr>
      </w:pPr>
    </w:p>
    <w:p w14:paraId="3124112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kern w:val="0"/>
          <w:sz w:val="32"/>
          <w:szCs w:val="32"/>
          <w:highlight w:val="none"/>
          <w:shd w:val="clear" w:color="auto" w:fill="FFFFFF"/>
          <w:lang w:val="zh-CN"/>
        </w:rPr>
        <w:t>一、部门（单位）基本情况</w:t>
      </w:r>
    </w:p>
    <w:p w14:paraId="4001310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（一）机构组成。</w:t>
      </w:r>
      <w:r>
        <w:rPr>
          <w:rFonts w:hint="default" w:ascii="Times New Roman" w:hAnsi="Times New Roman" w:eastAsia="仿宋_GB2312" w:cs="Times New Roman"/>
          <w:color w:val="auto"/>
          <w:sz w:val="32"/>
          <w:szCs w:val="32"/>
          <w:lang w:val="en-US" w:eastAsia="zh-CN"/>
        </w:rPr>
        <w:t>高笋乡内设股室及下属单位情况：1、党政办公室；2、党建工作办公室；3、经济发展办公室；4、社会事务办公室；5社会治理和综合执法办公室；6、应急管理办公室</w:t>
      </w:r>
      <w:r>
        <w:rPr>
          <w:rFonts w:hint="eastAsia" w:eastAsia="仿宋_GB2312" w:cs="Times New Roman"/>
          <w:color w:val="auto"/>
          <w:sz w:val="32"/>
          <w:szCs w:val="32"/>
          <w:lang w:val="en-US" w:eastAsia="zh-CN"/>
        </w:rPr>
        <w:t>。</w:t>
      </w:r>
    </w:p>
    <w:p w14:paraId="0039EE6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高笋乡设下列直属事业机构：1、便民服务中心（退役军人服务站、新时代文明实践所）；2、农业综合服务中心。</w:t>
      </w:r>
    </w:p>
    <w:p w14:paraId="1449B5B9">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（二）机构职能。</w:t>
      </w:r>
      <w:r>
        <w:rPr>
          <w:rFonts w:hint="default" w:ascii="Times New Roman" w:hAnsi="Times New Roman" w:eastAsia="仿宋_GB2312" w:cs="Times New Roman"/>
          <w:color w:val="auto"/>
          <w:sz w:val="32"/>
          <w:szCs w:val="32"/>
          <w:lang w:val="en-US" w:eastAsia="zh-CN"/>
        </w:rPr>
        <w:t>高笋乡人民政府为乡镇工作部门，负责全乡的财政收支、财税政策、国有资产管理等工作。</w:t>
      </w:r>
    </w:p>
    <w:p w14:paraId="324D57D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1、贯彻落实党的路线方针政策和国家法律法规以及上级党委、政府的决议、决定和命令，执行乡党委和乡人民代表大会的决议，加强农村基层政权建设，巩固党在农村的执政基础。</w:t>
      </w:r>
    </w:p>
    <w:p w14:paraId="1A3C82D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2、组织编制本行政区域经济社会发展规划和乡国土空间规划。负责农村基层设施和各项公益事业建设，推进脱贫攻坚，实施乡村振兴战略，加强经济社会发展，改善群众生产生活环境。</w:t>
      </w:r>
    </w:p>
    <w:p w14:paraId="29D3931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3、指导农村经济发展，推进农业经济结构调整，促进经济增长、农业增效、农民增收。</w:t>
      </w:r>
    </w:p>
    <w:p w14:paraId="0CBED13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加强农村公共服务体系建设，抓好基础教育、科技、文化、体育、卫生健康、食（药）品安全等工作，做好民政事务、残疾、老龄、就业培训、社会保障、劳动关系协调、民族宗教、退役军人事务、统计等工作，促进农村社会事业健康发展。</w:t>
      </w:r>
    </w:p>
    <w:p w14:paraId="23D53CE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5、负责辖区内自然资源、生态环境保护、森林防火、防汛抗旱、粮食安全、供销合作社等工作。</w:t>
      </w:r>
    </w:p>
    <w:p w14:paraId="5275AA5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6、推进基层民主法治建设，加强普法依法治理，指导村（居）民委员会工作，维护群众合法权益。</w:t>
      </w:r>
    </w:p>
    <w:p w14:paraId="1D0D90E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7、承担辖区平安建设、社会治安综合治理、安全和应急管理等有关工作，处理群众来信来访，反映社情民意，化解矛盾纠纷，维护社会安全稳定。</w:t>
      </w:r>
    </w:p>
    <w:p w14:paraId="6BBC844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8、负责清理编制权责清单、公共服务清单事项，建立清单动态调整和公示机制，推进政务公开，接受群众监督，增强政府公信力。</w:t>
      </w:r>
    </w:p>
    <w:p w14:paraId="7A01748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9、负责国防教育、兵役征集、民兵预备役等有关工作。</w:t>
      </w:r>
    </w:p>
    <w:p w14:paraId="138AFD6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仿宋_GB2312" w:cs="Times New Roman"/>
          <w:color w:val="auto"/>
          <w:sz w:val="32"/>
          <w:szCs w:val="32"/>
          <w:lang w:val="en-US" w:eastAsia="zh-CN"/>
        </w:rPr>
        <w:t>10、承担法律、法规、规章规定的其他职能和上级党委、政府交办的其他任务。</w:t>
      </w:r>
    </w:p>
    <w:p w14:paraId="37C1CDE8">
      <w:pPr>
        <w:keepNext w:val="0"/>
        <w:keepLines w:val="0"/>
        <w:pageBreakBefore w:val="0"/>
        <w:widowControl w:val="0"/>
        <w:kinsoku/>
        <w:wordWrap/>
        <w:overflowPunct/>
        <w:topLinePunct w:val="0"/>
        <w:autoSpaceDE/>
        <w:autoSpaceDN/>
        <w:bidi w:val="0"/>
        <w:adjustRightInd/>
        <w:snapToGrid/>
        <w:spacing w:line="578" w:lineRule="exact"/>
        <w:ind w:firstLine="643"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kern w:val="0"/>
          <w:sz w:val="32"/>
          <w:szCs w:val="32"/>
          <w:highlight w:val="none"/>
          <w:shd w:val="clear" w:color="auto" w:fill="FFFFFF"/>
          <w:lang w:val="zh-CN"/>
        </w:rPr>
        <w:t>（三）人员概况。</w:t>
      </w:r>
      <w:r>
        <w:rPr>
          <w:rFonts w:hint="default" w:ascii="Times New Roman" w:hAnsi="Times New Roman" w:eastAsia="仿宋_GB2312" w:cs="Times New Roman"/>
          <w:color w:val="auto"/>
          <w:sz w:val="32"/>
          <w:szCs w:val="32"/>
        </w:rPr>
        <w:t>截至202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年末，</w:t>
      </w:r>
      <w:r>
        <w:rPr>
          <w:rFonts w:hint="default" w:ascii="Times New Roman" w:hAnsi="Times New Roman" w:eastAsia="仿宋_GB2312" w:cs="Times New Roman"/>
          <w:color w:val="auto"/>
          <w:sz w:val="32"/>
          <w:szCs w:val="32"/>
          <w:lang w:val="en-US" w:eastAsia="zh-CN"/>
        </w:rPr>
        <w:t>沐川县高笋乡人民政府总编制36个，其中：行政编制22个、事业编制14个。在职人员总数32人，其中：行政23人、事业9人。比2024年末增加1人，主要是人员调入比调出多1人。</w:t>
      </w:r>
    </w:p>
    <w:p w14:paraId="5E113D5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rPr>
        <w:t>二、</w:t>
      </w:r>
      <w:r>
        <w:rPr>
          <w:rFonts w:hint="default" w:ascii="Times New Roman" w:hAnsi="Times New Roman" w:eastAsia="黑体" w:cs="Times New Roman"/>
          <w:color w:val="auto"/>
          <w:kern w:val="0"/>
          <w:sz w:val="32"/>
          <w:szCs w:val="32"/>
          <w:highlight w:val="none"/>
          <w:shd w:val="clear" w:color="auto" w:fill="FFFFFF"/>
          <w:lang w:eastAsia="zh-CN"/>
        </w:rPr>
        <w:t>部门</w:t>
      </w:r>
      <w:r>
        <w:rPr>
          <w:rFonts w:hint="default" w:ascii="Times New Roman" w:hAnsi="Times New Roman" w:eastAsia="黑体" w:cs="Times New Roman"/>
          <w:color w:val="auto"/>
          <w:kern w:val="0"/>
          <w:sz w:val="32"/>
          <w:szCs w:val="32"/>
          <w:highlight w:val="none"/>
          <w:shd w:val="clear" w:color="auto" w:fill="FFFFFF"/>
        </w:rPr>
        <w:t>资金收支情况</w:t>
      </w:r>
    </w:p>
    <w:p w14:paraId="3AAD38E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en-US"/>
        </w:rPr>
      </w:pPr>
      <w:r>
        <w:rPr>
          <w:rFonts w:hint="default" w:ascii="Times New Roman" w:hAnsi="Times New Roman" w:eastAsia="楷体_GB2312" w:cs="Times New Roman"/>
          <w:b/>
          <w:bCs/>
          <w:color w:val="auto"/>
          <w:kern w:val="0"/>
          <w:sz w:val="32"/>
          <w:szCs w:val="32"/>
          <w:highlight w:val="none"/>
          <w:shd w:val="clear" w:color="auto" w:fill="FFFFFF"/>
          <w:lang w:val="zh-CN"/>
        </w:rPr>
        <w:t>（一）收入情况。</w:t>
      </w:r>
      <w:r>
        <w:rPr>
          <w:rFonts w:hint="default" w:ascii="Times New Roman" w:hAnsi="Times New Roman" w:eastAsia="仿宋_GB2312" w:cs="Times New Roman"/>
          <w:color w:val="auto"/>
          <w:sz w:val="32"/>
          <w:szCs w:val="32"/>
          <w:lang w:val="en-US" w:eastAsia="zh-CN"/>
        </w:rPr>
        <w:t>高笋乡人民政府2025年年初预算收入885.06万元，其中一般公共预算财政拨款收入872.68万元，其他收入12.39万元；全年预算数941.81万元，其中一般公共预算财政拨款收入926.8万元，其他收入15.01万元。</w:t>
      </w:r>
    </w:p>
    <w:p w14:paraId="011D76F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eastAsia="仿宋_GB2312" w:cs="Times New Roman"/>
          <w:color w:val="auto"/>
          <w:sz w:val="32"/>
          <w:szCs w:val="32"/>
          <w:lang w:val="en-US"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（二）支出情况。</w:t>
      </w:r>
      <w:r>
        <w:rPr>
          <w:rFonts w:hint="default" w:ascii="Times New Roman" w:hAnsi="Times New Roman" w:eastAsia="仿宋_GB2312" w:cs="Times New Roman"/>
          <w:color w:val="auto"/>
          <w:sz w:val="32"/>
          <w:szCs w:val="32"/>
          <w:lang w:val="en-US" w:eastAsia="zh-CN"/>
        </w:rPr>
        <w:t>高笋乡人民政府2025年年初预算支出885.06万元，其中一般公共预算财政拨款收入872.68万元，其他收入12.39万元；2025年全年预算支出941.81万元，其中一般公共预算财政拨款收入926.8万元，其他收入15.01万元；2025年决算数支出940.7万元（包含本年支出940.62万元，年末结转结余0.07万元），其中一般公共预算财政拨款收入925.76万元，其他收入14.94万元</w:t>
      </w:r>
      <w:r>
        <w:rPr>
          <w:rFonts w:hint="eastAsia" w:eastAsia="仿宋_GB2312" w:cs="Times New Roman"/>
          <w:color w:val="auto"/>
          <w:sz w:val="32"/>
          <w:szCs w:val="32"/>
          <w:lang w:val="en-US" w:eastAsia="zh-CN"/>
        </w:rPr>
        <w:t>。</w:t>
      </w:r>
    </w:p>
    <w:p w14:paraId="38FF4AF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auto"/>
          <w:kern w:val="0"/>
          <w:sz w:val="32"/>
          <w:szCs w:val="32"/>
          <w:highlight w:val="none"/>
          <w:shd w:val="clear" w:color="auto" w:fill="FFFFFF"/>
          <w:lang w:val="zh-CN"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（三）</w:t>
      </w:r>
      <w:r>
        <w:rPr>
          <w:rFonts w:hint="default" w:ascii="Times New Roman" w:hAnsi="Times New Roman" w:eastAsia="楷体_GB2312" w:cs="Times New Roman"/>
          <w:b/>
          <w:color w:val="auto"/>
          <w:sz w:val="32"/>
          <w:szCs w:val="32"/>
        </w:rPr>
        <w:t>结余分配和结转结余情况</w:t>
      </w:r>
      <w:r>
        <w:rPr>
          <w:rFonts w:hint="default" w:ascii="Times New Roman" w:hAnsi="Times New Roman" w:eastAsia="楷体_GB2312" w:cs="Times New Roman"/>
          <w:b/>
          <w:color w:val="auto"/>
          <w:sz w:val="32"/>
          <w:szCs w:val="32"/>
          <w:lang w:eastAsia="zh-CN"/>
        </w:rPr>
        <w:t>。</w:t>
      </w:r>
      <w:r>
        <w:rPr>
          <w:rFonts w:hint="default" w:ascii="Times New Roman" w:hAnsi="Times New Roman" w:eastAsia="仿宋_GB2312" w:cs="Times New Roman"/>
          <w:color w:val="auto"/>
          <w:sz w:val="32"/>
          <w:szCs w:val="32"/>
          <w:lang w:val="en-US" w:eastAsia="zh-CN"/>
        </w:rPr>
        <w:t>高笋乡人民政府部</w:t>
      </w:r>
      <w:r>
        <w:rPr>
          <w:rFonts w:hint="eastAsia" w:eastAsia="仿宋_GB2312" w:cs="Times New Roman"/>
          <w:color w:val="auto"/>
          <w:sz w:val="32"/>
          <w:szCs w:val="32"/>
          <w:lang w:val="en-US" w:eastAsia="zh-CN"/>
        </w:rPr>
        <w:t>门</w:t>
      </w:r>
      <w:r>
        <w:rPr>
          <w:rFonts w:hint="default" w:ascii="Times New Roman" w:hAnsi="Times New Roman" w:eastAsia="仿宋_GB2312" w:cs="Times New Roman"/>
          <w:color w:val="auto"/>
          <w:sz w:val="32"/>
          <w:szCs w:val="32"/>
          <w:lang w:val="en-US" w:eastAsia="zh-CN"/>
        </w:rPr>
        <w:t>2025年决算报表</w:t>
      </w:r>
      <w:r>
        <w:rPr>
          <w:rFonts w:hint="default" w:ascii="Times New Roman" w:hAnsi="Times New Roman" w:eastAsia="仿宋_GB2312" w:cs="Times New Roman"/>
          <w:b w:val="0"/>
          <w:bCs w:val="0"/>
          <w:color w:val="auto"/>
          <w:kern w:val="0"/>
          <w:sz w:val="32"/>
          <w:szCs w:val="32"/>
          <w:highlight w:val="none"/>
          <w:shd w:val="clear" w:color="auto" w:fill="FFFFFF"/>
          <w:lang w:val="en-US" w:eastAsia="zh-CN"/>
        </w:rPr>
        <w:t>结转结余为0.07万元。</w:t>
      </w:r>
    </w:p>
    <w:p w14:paraId="40BE2ED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rPr>
        <w:t>三、</w:t>
      </w:r>
      <w:r>
        <w:rPr>
          <w:rFonts w:hint="default" w:ascii="Times New Roman" w:hAnsi="Times New Roman" w:eastAsia="黑体" w:cs="Times New Roman"/>
          <w:color w:val="auto"/>
          <w:kern w:val="0"/>
          <w:sz w:val="32"/>
          <w:szCs w:val="32"/>
          <w:highlight w:val="none"/>
          <w:u w:val="none"/>
          <w:shd w:val="clear" w:color="auto" w:fill="FFFFFF"/>
        </w:rPr>
        <w:t>部门</w:t>
      </w:r>
      <w:r>
        <w:rPr>
          <w:rFonts w:hint="default" w:ascii="Times New Roman" w:hAnsi="Times New Roman" w:eastAsia="黑体" w:cs="Times New Roman"/>
          <w:color w:val="auto"/>
          <w:kern w:val="0"/>
          <w:sz w:val="32"/>
          <w:szCs w:val="32"/>
          <w:highlight w:val="none"/>
          <w:u w:val="none"/>
          <w:shd w:val="clear" w:color="auto" w:fill="FFFFFF"/>
          <w:lang w:eastAsia="zh-CN"/>
        </w:rPr>
        <w:t>预算</w:t>
      </w:r>
      <w:r>
        <w:rPr>
          <w:rFonts w:hint="default" w:ascii="Times New Roman" w:hAnsi="Times New Roman" w:eastAsia="黑体" w:cs="Times New Roman"/>
          <w:color w:val="auto"/>
          <w:kern w:val="0"/>
          <w:sz w:val="32"/>
          <w:szCs w:val="32"/>
          <w:highlight w:val="none"/>
          <w:u w:val="none"/>
          <w:shd w:val="clear" w:color="auto" w:fill="FFFFFF"/>
        </w:rPr>
        <w:t>绩效</w:t>
      </w:r>
      <w:r>
        <w:rPr>
          <w:rFonts w:hint="default" w:ascii="Times New Roman" w:hAnsi="Times New Roman" w:eastAsia="黑体" w:cs="Times New Roman"/>
          <w:color w:val="auto"/>
          <w:kern w:val="0"/>
          <w:sz w:val="32"/>
          <w:szCs w:val="32"/>
          <w:highlight w:val="none"/>
          <w:u w:val="none"/>
          <w:shd w:val="clear" w:color="auto" w:fill="FFFFFF"/>
          <w:lang w:eastAsia="zh-CN"/>
        </w:rPr>
        <w:t>分析</w:t>
      </w:r>
    </w:p>
    <w:p w14:paraId="182761F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（一）部门预算总体绩效分析。</w:t>
      </w:r>
    </w:p>
    <w:p w14:paraId="4F6D30F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楷体_GB2312" w:cs="Times New Roman"/>
          <w:color w:val="auto"/>
          <w:kern w:val="0"/>
          <w:sz w:val="32"/>
          <w:szCs w:val="32"/>
          <w:highlight w:val="none"/>
          <w:shd w:val="clear" w:color="auto" w:fill="FFFFFF"/>
          <w:lang w:val="en-US" w:eastAsia="zh-CN"/>
        </w:rPr>
        <w:t>1.</w:t>
      </w:r>
      <w:r>
        <w:rPr>
          <w:rFonts w:hint="default" w:ascii="Times New Roman" w:hAnsi="Times New Roman" w:eastAsia="楷体_GB2312" w:cs="Times New Roman"/>
          <w:color w:val="auto"/>
          <w:kern w:val="0"/>
          <w:sz w:val="32"/>
          <w:szCs w:val="32"/>
          <w:highlight w:val="none"/>
          <w:shd w:val="clear" w:color="auto" w:fill="FFFFFF"/>
          <w:lang w:val="zh-CN"/>
        </w:rPr>
        <w:t>履职效能。</w:t>
      </w:r>
      <w:r>
        <w:rPr>
          <w:rFonts w:hint="default" w:ascii="Times New Roman" w:hAnsi="Times New Roman" w:eastAsia="仿宋_GB2312" w:cs="Times New Roman"/>
          <w:color w:val="auto"/>
          <w:kern w:val="0"/>
          <w:sz w:val="32"/>
          <w:szCs w:val="32"/>
          <w:highlight w:val="none"/>
          <w:shd w:val="clear" w:color="auto" w:fill="FFFFFF"/>
          <w:lang w:val="zh-CN"/>
        </w:rPr>
        <w:t>1.履职效能。根据部门整体绩效目标，围绕以下5个核心职能目标完成情况进行分析：</w:t>
      </w:r>
    </w:p>
    <w:p w14:paraId="15D128C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（1）乡政府开展工作完成度履职效果</w:t>
      </w:r>
    </w:p>
    <w:p w14:paraId="34B922B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全年保障乡政府日常运转高效有序，全面落实上级决策部署，顺利完成各项行政事务及公共服务任务，统筹推进经济发展、民生保障及社会治理，矛盾纠纷化解机制有效运行，基层治理效能稳步提升。</w:t>
      </w:r>
    </w:p>
    <w:p w14:paraId="69A6976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（2）村、社区开展工作完成度履职效果</w:t>
      </w:r>
    </w:p>
    <w:p w14:paraId="5801C45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村、社区按期完成基础设施建设任务，公共服务响应效率显著提高；集体经济发展项目有序实施，民生兜底保障落实到位。</w:t>
      </w:r>
    </w:p>
    <w:p w14:paraId="6C43B21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（3）农村人居环境改善履职效果</w:t>
      </w:r>
    </w:p>
    <w:p w14:paraId="6717B44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持续推进农村环境整治工程，垃圾污水治理及村容美化工程，村庄道路硬化覆盖率稳步提升；常态化保洁机制覆盖全部村、社区，公共环境维护队伍实现规范化运作，村民生活环境改善显著。</w:t>
      </w:r>
    </w:p>
    <w:p w14:paraId="530370B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（4）运维费发放村保障覆盖履职效果</w:t>
      </w:r>
    </w:p>
    <w:p w14:paraId="31EDB6A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实现全乡行政村运维费按时足额拨付，资金使用全程监管，保障村级公共服务和基础设施维护需求；覆盖100%行政村，基础服务运转资金需求得到有效支撑，村级治理稳定性增强。</w:t>
      </w:r>
    </w:p>
    <w:p w14:paraId="178C9B0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（5）人大代表履职效果</w:t>
      </w:r>
    </w:p>
    <w:p w14:paraId="2101068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人代会圆满召开，人大代表深入调研形成高质量提案，推动解决道路修缮、饮水安全等民生事项；代表联络站常态化运行，选民意见收集及转办流程规范，建议办结率持续提高。</w:t>
      </w:r>
    </w:p>
    <w:p w14:paraId="3A332128">
      <w:pPr>
        <w:keepNext w:val="0"/>
        <w:keepLines w:val="0"/>
        <w:pageBreakBefore w:val="0"/>
        <w:widowControl w:val="0"/>
        <w:numPr>
          <w:ilvl w:val="0"/>
          <w:numId w:val="2"/>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楷体_GB2312" w:cs="Times New Roman"/>
          <w:color w:val="auto"/>
          <w:kern w:val="0"/>
          <w:sz w:val="32"/>
          <w:szCs w:val="32"/>
          <w:highlight w:val="none"/>
          <w:shd w:val="clear" w:color="auto" w:fill="FFFFFF"/>
          <w:lang w:val="zh-CN"/>
        </w:rPr>
        <w:t>预算管理。</w:t>
      </w:r>
      <w:r>
        <w:rPr>
          <w:rFonts w:hint="default" w:ascii="Times New Roman" w:hAnsi="Times New Roman" w:eastAsia="仿宋_GB2312" w:cs="Times New Roman"/>
          <w:color w:val="auto"/>
          <w:kern w:val="0"/>
          <w:sz w:val="32"/>
          <w:szCs w:val="32"/>
          <w:highlight w:val="none"/>
          <w:shd w:val="clear" w:color="auto" w:fill="FFFFFF"/>
          <w:lang w:val="zh-CN"/>
        </w:rPr>
        <w:t>科学编制年度预算，强化全口径收入统筹，动态优化支出结构，确保年度收支平衡；严格按计划执行预算支出，重点项目资金拨付及时高效，执行进度全程达标；年末结余资金</w:t>
      </w:r>
      <w:r>
        <w:rPr>
          <w:rFonts w:hint="default" w:ascii="Times New Roman" w:hAnsi="Times New Roman" w:eastAsia="仿宋_GB2312" w:cs="Times New Roman"/>
          <w:color w:val="auto"/>
          <w:kern w:val="0"/>
          <w:sz w:val="32"/>
          <w:szCs w:val="32"/>
          <w:highlight w:val="none"/>
          <w:shd w:val="clear" w:color="auto" w:fill="FFFFFF"/>
          <w:lang w:val="en-US" w:eastAsia="zh-CN"/>
        </w:rPr>
        <w:t>0.07</w:t>
      </w:r>
      <w:r>
        <w:rPr>
          <w:rFonts w:hint="default" w:ascii="Times New Roman" w:hAnsi="Times New Roman" w:eastAsia="仿宋_GB2312" w:cs="Times New Roman"/>
          <w:color w:val="auto"/>
          <w:kern w:val="0"/>
          <w:sz w:val="32"/>
          <w:szCs w:val="32"/>
          <w:highlight w:val="none"/>
          <w:shd w:val="clear" w:color="auto" w:fill="FFFFFF"/>
          <w:lang w:val="zh-CN"/>
        </w:rPr>
        <w:t>万，为金石焦化捐赠资金，结转到202</w:t>
      </w:r>
      <w:r>
        <w:rPr>
          <w:rFonts w:hint="default" w:ascii="Times New Roman" w:hAnsi="Times New Roman" w:eastAsia="仿宋_GB2312" w:cs="Times New Roman"/>
          <w:color w:val="auto"/>
          <w:kern w:val="0"/>
          <w:sz w:val="32"/>
          <w:szCs w:val="32"/>
          <w:highlight w:val="none"/>
          <w:shd w:val="clear" w:color="auto" w:fill="FFFFFF"/>
          <w:lang w:val="en-US" w:eastAsia="zh-CN"/>
        </w:rPr>
        <w:t>6</w:t>
      </w:r>
      <w:r>
        <w:rPr>
          <w:rFonts w:hint="default" w:ascii="Times New Roman" w:hAnsi="Times New Roman" w:eastAsia="仿宋_GB2312" w:cs="Times New Roman"/>
          <w:color w:val="auto"/>
          <w:kern w:val="0"/>
          <w:sz w:val="32"/>
          <w:szCs w:val="32"/>
          <w:highlight w:val="none"/>
          <w:shd w:val="clear" w:color="auto" w:fill="FFFFFF"/>
          <w:lang w:val="zh-CN"/>
        </w:rPr>
        <w:t>年严格按要求进行支付；严控非必要开支，行政运行成本同比显著下降，财政资源配置精准度持续提升。</w:t>
      </w:r>
    </w:p>
    <w:p w14:paraId="1946FC4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color w:val="auto"/>
          <w:kern w:val="0"/>
          <w:sz w:val="32"/>
          <w:szCs w:val="32"/>
          <w:highlight w:val="none"/>
          <w:shd w:val="clear" w:color="auto" w:fill="FFFFFF"/>
          <w:lang w:val="zh-CN"/>
        </w:rPr>
      </w:pPr>
      <w:r>
        <w:rPr>
          <w:rFonts w:hint="default" w:ascii="Times New Roman" w:hAnsi="Times New Roman" w:eastAsia="楷体_GB2312" w:cs="Times New Roman"/>
          <w:color w:val="auto"/>
          <w:kern w:val="0"/>
          <w:sz w:val="32"/>
          <w:szCs w:val="32"/>
          <w:highlight w:val="none"/>
          <w:shd w:val="clear" w:color="auto" w:fill="FFFFFF"/>
          <w:lang w:val="en-US" w:eastAsia="zh-CN"/>
        </w:rPr>
        <w:t>3.</w:t>
      </w:r>
      <w:r>
        <w:rPr>
          <w:rFonts w:hint="default" w:ascii="Times New Roman" w:hAnsi="Times New Roman" w:eastAsia="楷体_GB2312" w:cs="Times New Roman"/>
          <w:color w:val="auto"/>
          <w:kern w:val="0"/>
          <w:sz w:val="32"/>
          <w:szCs w:val="32"/>
          <w:highlight w:val="none"/>
          <w:shd w:val="clear" w:color="auto" w:fill="FFFFFF"/>
          <w:lang w:val="zh-CN"/>
        </w:rPr>
        <w:t>财务管理。</w:t>
      </w:r>
      <w:r>
        <w:rPr>
          <w:rFonts w:hint="default" w:ascii="Times New Roman" w:hAnsi="Times New Roman" w:eastAsia="仿宋_GB2312" w:cs="Times New Roman"/>
          <w:color w:val="auto"/>
          <w:kern w:val="0"/>
          <w:sz w:val="32"/>
          <w:szCs w:val="32"/>
          <w:highlight w:val="none"/>
          <w:shd w:val="clear" w:color="auto" w:fill="FFFFFF"/>
          <w:lang w:val="zh-CN"/>
        </w:rPr>
        <w:t>按照要求建立健全内控制度，强化预算编制与执行监管，规范资金使用，提升使用效益；合理配置岗位权限，明确职责权限，严格实行不相容岗位分离，降低操作风险；严控资金流向审批，专项资金专款专用，确保支出合规透明。</w:t>
      </w:r>
    </w:p>
    <w:p w14:paraId="5BAAC62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楷体_GB2312" w:cs="Times New Roman"/>
          <w:color w:val="auto"/>
          <w:kern w:val="0"/>
          <w:sz w:val="32"/>
          <w:szCs w:val="32"/>
          <w:highlight w:val="none"/>
          <w:shd w:val="clear" w:color="auto" w:fill="FFFFFF"/>
          <w:lang w:val="en-US" w:eastAsia="zh-CN"/>
        </w:rPr>
        <w:t>4.</w:t>
      </w:r>
      <w:r>
        <w:rPr>
          <w:rFonts w:hint="default" w:ascii="Times New Roman" w:hAnsi="Times New Roman" w:eastAsia="楷体_GB2312" w:cs="Times New Roman"/>
          <w:color w:val="auto"/>
          <w:kern w:val="0"/>
          <w:sz w:val="32"/>
          <w:szCs w:val="32"/>
          <w:highlight w:val="none"/>
          <w:shd w:val="clear" w:color="auto" w:fill="FFFFFF"/>
          <w:lang w:val="zh-CN"/>
        </w:rPr>
        <w:t>资产管理。</w:t>
      </w:r>
      <w:r>
        <w:rPr>
          <w:rFonts w:hint="default" w:ascii="Times New Roman" w:hAnsi="Times New Roman" w:eastAsia="仿宋_GB2312" w:cs="Times New Roman"/>
          <w:color w:val="auto"/>
          <w:kern w:val="0"/>
          <w:sz w:val="32"/>
          <w:szCs w:val="32"/>
          <w:highlight w:val="none"/>
          <w:shd w:val="clear" w:color="auto" w:fill="FFFFFF"/>
          <w:lang w:val="zh-CN"/>
        </w:rPr>
        <w:t>及时准确报送资产月报和年报，固定资产总量按需求增加，资产利用率高，无闲置资产。</w:t>
      </w:r>
    </w:p>
    <w:p w14:paraId="4CAE4BC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color w:val="auto"/>
          <w:kern w:val="0"/>
          <w:sz w:val="32"/>
          <w:szCs w:val="32"/>
          <w:highlight w:val="none"/>
          <w:shd w:val="clear" w:color="auto" w:fill="FFFFFF"/>
          <w:lang w:val="zh-CN"/>
        </w:rPr>
      </w:pPr>
      <w:r>
        <w:rPr>
          <w:rFonts w:hint="default" w:ascii="Times New Roman" w:hAnsi="Times New Roman" w:eastAsia="楷体_GB2312" w:cs="Times New Roman"/>
          <w:color w:val="auto"/>
          <w:kern w:val="0"/>
          <w:sz w:val="32"/>
          <w:szCs w:val="32"/>
          <w:highlight w:val="none"/>
          <w:shd w:val="clear" w:color="auto" w:fill="FFFFFF"/>
          <w:lang w:val="en-US" w:eastAsia="zh-CN"/>
        </w:rPr>
        <w:t>5.</w:t>
      </w:r>
      <w:r>
        <w:rPr>
          <w:rFonts w:hint="default" w:ascii="Times New Roman" w:hAnsi="Times New Roman" w:eastAsia="楷体_GB2312" w:cs="Times New Roman"/>
          <w:color w:val="auto"/>
          <w:kern w:val="0"/>
          <w:sz w:val="32"/>
          <w:szCs w:val="32"/>
          <w:highlight w:val="none"/>
          <w:shd w:val="clear" w:color="auto" w:fill="FFFFFF"/>
          <w:lang w:val="zh-CN"/>
        </w:rPr>
        <w:t>采购管理。</w:t>
      </w:r>
      <w:r>
        <w:rPr>
          <w:rFonts w:hint="default" w:ascii="Times New Roman" w:hAnsi="Times New Roman" w:eastAsia="仿宋_GB2312" w:cs="Times New Roman"/>
          <w:color w:val="auto"/>
          <w:kern w:val="0"/>
          <w:sz w:val="32"/>
          <w:szCs w:val="32"/>
          <w:highlight w:val="none"/>
          <w:shd w:val="clear" w:color="auto" w:fill="FFFFFF"/>
          <w:lang w:val="zh-CN"/>
        </w:rPr>
        <w:t>采购管理规范，严格执行政府采购促进中小企业发展相关管理办法，支持中小企业发展。</w:t>
      </w:r>
    </w:p>
    <w:p w14:paraId="07BFA78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en-US"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（二）部门预算项目绩效分析。</w:t>
      </w:r>
    </w:p>
    <w:p w14:paraId="0133A28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eastAsia="zh-CN"/>
        </w:rPr>
      </w:pPr>
      <w:r>
        <w:rPr>
          <w:rFonts w:hint="default" w:ascii="Times New Roman" w:hAnsi="Times New Roman" w:eastAsia="仿宋_GB2312" w:cs="Times New Roman"/>
          <w:color w:val="auto"/>
          <w:kern w:val="0"/>
          <w:sz w:val="32"/>
          <w:szCs w:val="32"/>
          <w:highlight w:val="none"/>
          <w:shd w:val="clear" w:color="auto" w:fill="FFFFFF"/>
          <w:lang w:val="en-US" w:eastAsia="zh-CN"/>
        </w:rPr>
        <w:t>常年项目绩效分析。</w:t>
      </w:r>
      <w:r>
        <w:rPr>
          <w:rFonts w:hint="default" w:ascii="Times New Roman" w:hAnsi="Times New Roman" w:eastAsia="仿宋_GB2312" w:cs="Times New Roman"/>
          <w:color w:val="auto"/>
          <w:kern w:val="0"/>
          <w:sz w:val="32"/>
          <w:szCs w:val="32"/>
          <w:highlight w:val="none"/>
          <w:shd w:val="clear" w:color="auto" w:fill="FFFFFF"/>
          <w:lang w:val="zh-CN" w:eastAsia="zh-CN"/>
        </w:rPr>
        <w:t>该类项目总数</w:t>
      </w:r>
      <w:r>
        <w:rPr>
          <w:rFonts w:hint="default" w:ascii="Times New Roman" w:hAnsi="Times New Roman" w:eastAsia="仿宋_GB2312" w:cs="Times New Roman"/>
          <w:color w:val="auto"/>
          <w:kern w:val="0"/>
          <w:sz w:val="32"/>
          <w:szCs w:val="32"/>
          <w:highlight w:val="none"/>
          <w:shd w:val="clear" w:color="auto" w:fill="FFFFFF"/>
          <w:lang w:val="en-US" w:eastAsia="zh-CN"/>
        </w:rPr>
        <w:t>67</w:t>
      </w:r>
      <w:r>
        <w:rPr>
          <w:rFonts w:hint="default" w:ascii="Times New Roman" w:hAnsi="Times New Roman" w:eastAsia="仿宋_GB2312" w:cs="Times New Roman"/>
          <w:color w:val="auto"/>
          <w:kern w:val="0"/>
          <w:sz w:val="32"/>
          <w:szCs w:val="32"/>
          <w:highlight w:val="none"/>
          <w:shd w:val="clear" w:color="auto" w:fill="FFFFFF"/>
          <w:lang w:val="zh-CN" w:eastAsia="zh-CN"/>
        </w:rPr>
        <w:t>个，涉及年初预算</w:t>
      </w:r>
      <w:r>
        <w:rPr>
          <w:rFonts w:hint="default" w:ascii="Times New Roman" w:hAnsi="Times New Roman" w:eastAsia="仿宋_GB2312" w:cs="Times New Roman"/>
          <w:color w:val="auto"/>
          <w:kern w:val="0"/>
          <w:sz w:val="32"/>
          <w:szCs w:val="32"/>
          <w:highlight w:val="none"/>
          <w:shd w:val="clear" w:color="auto" w:fill="FFFFFF"/>
          <w:lang w:val="en-US" w:eastAsia="zh-CN"/>
        </w:rPr>
        <w:t>88</w:t>
      </w:r>
      <w:r>
        <w:rPr>
          <w:rFonts w:hint="eastAsia" w:eastAsia="仿宋_GB2312" w:cs="Times New Roman"/>
          <w:color w:val="auto"/>
          <w:kern w:val="0"/>
          <w:sz w:val="32"/>
          <w:szCs w:val="32"/>
          <w:highlight w:val="none"/>
          <w:shd w:val="clear" w:color="auto" w:fill="FFFFFF"/>
          <w:lang w:val="en-US" w:eastAsia="zh-CN"/>
        </w:rPr>
        <w:t>4.06</w:t>
      </w:r>
      <w:r>
        <w:rPr>
          <w:rFonts w:hint="default" w:ascii="Times New Roman" w:hAnsi="Times New Roman" w:eastAsia="仿宋_GB2312" w:cs="Times New Roman"/>
          <w:color w:val="auto"/>
          <w:kern w:val="0"/>
          <w:sz w:val="32"/>
          <w:szCs w:val="32"/>
          <w:highlight w:val="none"/>
          <w:shd w:val="clear" w:color="auto" w:fill="FFFFFF"/>
          <w:lang w:val="en-US" w:eastAsia="zh-CN"/>
        </w:rPr>
        <w:t>万元，调整后预算数963.37</w:t>
      </w:r>
      <w:r>
        <w:rPr>
          <w:rFonts w:hint="default" w:ascii="Times New Roman" w:hAnsi="Times New Roman" w:eastAsia="仿宋_GB2312" w:cs="Times New Roman"/>
          <w:color w:val="auto"/>
          <w:kern w:val="0"/>
          <w:sz w:val="32"/>
          <w:szCs w:val="32"/>
          <w:highlight w:val="none"/>
          <w:shd w:val="clear" w:color="auto" w:fill="FFFFFF"/>
          <w:lang w:val="zh-CN" w:eastAsia="zh-CN"/>
        </w:rPr>
        <w:t>万元，</w:t>
      </w:r>
      <w:r>
        <w:rPr>
          <w:rFonts w:hint="default" w:ascii="Times New Roman" w:hAnsi="Times New Roman" w:eastAsia="仿宋_GB2312" w:cs="Times New Roman"/>
          <w:color w:val="auto"/>
          <w:kern w:val="0"/>
          <w:sz w:val="32"/>
          <w:szCs w:val="32"/>
          <w:highlight w:val="none"/>
          <w:shd w:val="clear" w:color="auto" w:fill="FFFFFF"/>
          <w:lang w:val="zh-CN"/>
        </w:rPr>
        <w:t>1</w:t>
      </w:r>
      <w:r>
        <w:rPr>
          <w:rFonts w:hint="default" w:ascii="Times New Roman" w:hAnsi="Times New Roman" w:eastAsia="仿宋_GB2312" w:cs="Times New Roman"/>
          <w:color w:val="auto"/>
          <w:kern w:val="0"/>
          <w:sz w:val="32"/>
          <w:szCs w:val="32"/>
          <w:highlight w:val="none"/>
          <w:shd w:val="clear" w:color="auto" w:fill="FFFFFF"/>
          <w:lang w:val="zh-CN" w:eastAsia="zh-CN"/>
        </w:rPr>
        <w:t>—</w:t>
      </w:r>
      <w:r>
        <w:rPr>
          <w:rFonts w:hint="default" w:ascii="Times New Roman" w:hAnsi="Times New Roman" w:eastAsia="仿宋_GB2312" w:cs="Times New Roman"/>
          <w:color w:val="auto"/>
          <w:kern w:val="0"/>
          <w:sz w:val="32"/>
          <w:szCs w:val="32"/>
          <w:highlight w:val="none"/>
          <w:shd w:val="clear" w:color="auto" w:fill="FFFFFF"/>
          <w:lang w:val="zh-CN"/>
        </w:rPr>
        <w:t>1</w:t>
      </w:r>
      <w:r>
        <w:rPr>
          <w:rFonts w:hint="default" w:ascii="Times New Roman" w:hAnsi="Times New Roman" w:eastAsia="仿宋_GB2312" w:cs="Times New Roman"/>
          <w:color w:val="auto"/>
          <w:kern w:val="0"/>
          <w:sz w:val="32"/>
          <w:szCs w:val="32"/>
          <w:highlight w:val="none"/>
          <w:shd w:val="clear" w:color="auto" w:fill="FFFFFF"/>
          <w:lang w:val="en-US" w:eastAsia="zh-CN"/>
        </w:rPr>
        <w:t>2</w:t>
      </w:r>
      <w:r>
        <w:rPr>
          <w:rFonts w:hint="default" w:ascii="Times New Roman" w:hAnsi="Times New Roman" w:eastAsia="仿宋_GB2312" w:cs="Times New Roman"/>
          <w:color w:val="auto"/>
          <w:kern w:val="0"/>
          <w:sz w:val="32"/>
          <w:szCs w:val="32"/>
          <w:highlight w:val="none"/>
          <w:shd w:val="clear" w:color="auto" w:fill="FFFFFF"/>
          <w:lang w:val="zh-CN"/>
        </w:rPr>
        <w:t>月预算执行总体进度为</w:t>
      </w:r>
      <w:r>
        <w:rPr>
          <w:rFonts w:hint="default" w:ascii="Times New Roman" w:hAnsi="Times New Roman" w:eastAsia="仿宋_GB2312" w:cs="Times New Roman"/>
          <w:color w:val="auto"/>
          <w:kern w:val="0"/>
          <w:sz w:val="32"/>
          <w:szCs w:val="32"/>
          <w:highlight w:val="none"/>
          <w:shd w:val="clear" w:color="auto" w:fill="FFFFFF"/>
          <w:lang w:val="en-US" w:eastAsia="zh-CN"/>
        </w:rPr>
        <w:t>97.64</w:t>
      </w:r>
      <w:r>
        <w:rPr>
          <w:rFonts w:hint="default" w:ascii="Times New Roman" w:hAnsi="Times New Roman" w:eastAsia="仿宋_GB2312" w:cs="Times New Roman"/>
          <w:color w:val="auto"/>
          <w:kern w:val="0"/>
          <w:sz w:val="32"/>
          <w:szCs w:val="32"/>
          <w:highlight w:val="none"/>
          <w:shd w:val="clear" w:color="auto" w:fill="FFFFFF"/>
          <w:lang w:val="zh-CN"/>
        </w:rPr>
        <w:t>%，其中：</w:t>
      </w:r>
      <w:r>
        <w:rPr>
          <w:rFonts w:hint="default" w:ascii="Times New Roman" w:hAnsi="Times New Roman" w:eastAsia="仿宋_GB2312" w:cs="Times New Roman"/>
          <w:color w:val="auto"/>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auto"/>
          <w:kern w:val="0"/>
          <w:sz w:val="32"/>
          <w:szCs w:val="32"/>
          <w:highlight w:val="none"/>
          <w:shd w:val="clear" w:color="auto" w:fill="FFFFFF"/>
          <w:lang w:val="en-US" w:eastAsia="zh-CN"/>
        </w:rPr>
        <w:t>10%</w:t>
      </w:r>
      <w:r>
        <w:rPr>
          <w:rFonts w:hint="default" w:ascii="Times New Roman" w:hAnsi="Times New Roman" w:eastAsia="仿宋_GB2312" w:cs="Times New Roman"/>
          <w:color w:val="auto"/>
          <w:kern w:val="0"/>
          <w:sz w:val="32"/>
          <w:szCs w:val="32"/>
          <w:highlight w:val="none"/>
          <w:shd w:val="clear" w:color="auto" w:fill="FFFFFF"/>
          <w:lang w:val="zh-CN" w:eastAsia="zh-CN"/>
        </w:rPr>
        <w:t>的项目共计</w:t>
      </w:r>
      <w:r>
        <w:rPr>
          <w:rFonts w:hint="default" w:ascii="Times New Roman" w:hAnsi="Times New Roman" w:eastAsia="仿宋_GB2312" w:cs="Times New Roman"/>
          <w:color w:val="auto"/>
          <w:kern w:val="0"/>
          <w:sz w:val="32"/>
          <w:szCs w:val="32"/>
          <w:highlight w:val="none"/>
          <w:shd w:val="clear" w:color="auto" w:fill="FFFFFF"/>
          <w:lang w:val="en-US" w:eastAsia="zh-CN"/>
        </w:rPr>
        <w:t>7</w:t>
      </w:r>
      <w:r>
        <w:rPr>
          <w:rFonts w:hint="default" w:ascii="Times New Roman" w:hAnsi="Times New Roman" w:eastAsia="仿宋_GB2312" w:cs="Times New Roman"/>
          <w:color w:val="auto"/>
          <w:kern w:val="0"/>
          <w:sz w:val="32"/>
          <w:szCs w:val="32"/>
          <w:highlight w:val="none"/>
          <w:shd w:val="clear" w:color="auto" w:fill="FFFFFF"/>
          <w:lang w:val="zh-CN" w:eastAsia="zh-CN"/>
        </w:rPr>
        <w:t>个。</w:t>
      </w:r>
    </w:p>
    <w:p w14:paraId="5CCE2A9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en-US" w:eastAsia="zh-CN"/>
        </w:rPr>
      </w:pPr>
      <w:r>
        <w:rPr>
          <w:rFonts w:hint="default" w:ascii="Times New Roman" w:hAnsi="Times New Roman" w:eastAsia="仿宋_GB2312" w:cs="Times New Roman"/>
          <w:color w:val="auto"/>
          <w:kern w:val="0"/>
          <w:sz w:val="32"/>
          <w:szCs w:val="32"/>
          <w:highlight w:val="none"/>
          <w:shd w:val="clear" w:color="auto" w:fill="FFFFFF"/>
          <w:lang w:val="zh-CN" w:eastAsia="zh-CN"/>
        </w:rPr>
        <w:t>阶段(含一次性)项目绩效分析。该类项目总数</w:t>
      </w:r>
      <w:r>
        <w:rPr>
          <w:rFonts w:hint="default" w:ascii="Times New Roman" w:hAnsi="Times New Roman" w:eastAsia="仿宋_GB2312" w:cs="Times New Roman"/>
          <w:color w:val="auto"/>
          <w:kern w:val="0"/>
          <w:sz w:val="32"/>
          <w:szCs w:val="32"/>
          <w:highlight w:val="none"/>
          <w:shd w:val="clear" w:color="auto" w:fill="FFFFFF"/>
          <w:lang w:val="en-US" w:eastAsia="zh-CN"/>
        </w:rPr>
        <w:t>0</w:t>
      </w:r>
      <w:r>
        <w:rPr>
          <w:rFonts w:hint="default" w:ascii="Times New Roman" w:hAnsi="Times New Roman" w:eastAsia="仿宋_GB2312" w:cs="Times New Roman"/>
          <w:color w:val="auto"/>
          <w:kern w:val="0"/>
          <w:sz w:val="32"/>
          <w:szCs w:val="32"/>
          <w:highlight w:val="none"/>
          <w:shd w:val="clear" w:color="auto" w:fill="FFFFFF"/>
          <w:lang w:val="zh-CN" w:eastAsia="zh-CN"/>
        </w:rPr>
        <w:t>个，涉及预算总金额</w:t>
      </w:r>
      <w:r>
        <w:rPr>
          <w:rFonts w:hint="default" w:ascii="Times New Roman" w:hAnsi="Times New Roman" w:eastAsia="仿宋_GB2312" w:cs="Times New Roman"/>
          <w:color w:val="auto"/>
          <w:kern w:val="0"/>
          <w:sz w:val="32"/>
          <w:szCs w:val="32"/>
          <w:highlight w:val="none"/>
          <w:shd w:val="clear" w:color="auto" w:fill="FFFFFF"/>
          <w:lang w:val="en-US" w:eastAsia="zh-CN"/>
        </w:rPr>
        <w:t>0</w:t>
      </w:r>
      <w:r>
        <w:rPr>
          <w:rFonts w:hint="default" w:ascii="Times New Roman" w:hAnsi="Times New Roman" w:eastAsia="仿宋_GB2312" w:cs="Times New Roman"/>
          <w:color w:val="auto"/>
          <w:kern w:val="0"/>
          <w:sz w:val="32"/>
          <w:szCs w:val="32"/>
          <w:highlight w:val="none"/>
          <w:shd w:val="clear" w:color="auto" w:fill="FFFFFF"/>
          <w:lang w:val="zh-CN" w:eastAsia="zh-CN"/>
        </w:rPr>
        <w:t>万元。</w:t>
      </w:r>
    </w:p>
    <w:p w14:paraId="66127ED2">
      <w:pPr>
        <w:spacing w:line="590" w:lineRule="exact"/>
        <w:ind w:firstLine="660" w:firstLineChars="200"/>
        <w:contextualSpacing/>
        <w:rPr>
          <w:rFonts w:hint="default" w:ascii="Times New Roman" w:hAnsi="Times New Roman" w:eastAsia="楷体_GB2312" w:cs="Times New Roman"/>
          <w:color w:val="auto"/>
          <w:kern w:val="0"/>
          <w:sz w:val="33"/>
          <w:szCs w:val="33"/>
          <w:shd w:val="clear" w:color="auto" w:fill="FFFFFF"/>
          <w:lang w:val="zh-CN"/>
        </w:rPr>
      </w:pPr>
      <w:r>
        <w:rPr>
          <w:rFonts w:hint="default" w:ascii="Times New Roman" w:hAnsi="Times New Roman" w:eastAsia="楷体_GB2312" w:cs="Times New Roman"/>
          <w:color w:val="auto"/>
          <w:kern w:val="0"/>
          <w:sz w:val="33"/>
          <w:szCs w:val="33"/>
          <w:shd w:val="clear" w:color="auto" w:fill="FFFFFF"/>
        </w:rPr>
        <w:t>1.</w:t>
      </w:r>
      <w:r>
        <w:rPr>
          <w:rFonts w:hint="default" w:ascii="Times New Roman" w:hAnsi="Times New Roman" w:eastAsia="楷体_GB2312" w:cs="Times New Roman"/>
          <w:color w:val="auto"/>
          <w:kern w:val="0"/>
          <w:sz w:val="33"/>
          <w:szCs w:val="33"/>
          <w:shd w:val="clear" w:color="auto" w:fill="FFFFFF"/>
          <w:lang w:val="zh-CN"/>
        </w:rPr>
        <w:t>项目决策。</w:t>
      </w:r>
      <w:r>
        <w:rPr>
          <w:rFonts w:hint="default" w:ascii="Times New Roman" w:hAnsi="Times New Roman" w:eastAsia="仿宋_GB2312" w:cs="Times New Roman"/>
          <w:color w:val="auto"/>
          <w:kern w:val="0"/>
          <w:sz w:val="33"/>
          <w:szCs w:val="33"/>
          <w:shd w:val="clear" w:color="auto" w:fill="FFFFFF"/>
          <w:lang w:val="zh-CN"/>
        </w:rPr>
        <w:t>决策程序合规高效，严守“三重一大”机制，部门预算设定按规定履行评估论证、申报程序，确保程序规范、风险可控；目标设置精准务实，部门预算项目绩效目标与计划期内的任务量、预算安排的资金量相匹配，绩效目标设置科学合理、规范完整、量化细化、预算匹配，目标清晰具体、可量化、可达成；在规定时间完成项目入库，严格执行必要性审核与可行性评估，优先保障重点领域和急迫民生需求。</w:t>
      </w:r>
    </w:p>
    <w:p w14:paraId="441917B2">
      <w:pPr>
        <w:spacing w:line="590" w:lineRule="exact"/>
        <w:ind w:firstLine="660" w:firstLineChars="200"/>
        <w:contextualSpacing/>
        <w:rPr>
          <w:rFonts w:hint="default" w:ascii="Times New Roman" w:hAnsi="Times New Roman" w:eastAsia="楷体_GB2312" w:cs="Times New Roman"/>
          <w:color w:val="auto"/>
          <w:kern w:val="0"/>
          <w:sz w:val="33"/>
          <w:szCs w:val="33"/>
          <w:shd w:val="clear" w:color="auto" w:fill="FFFFFF"/>
          <w:lang w:val="zh-CN"/>
        </w:rPr>
      </w:pPr>
      <w:r>
        <w:rPr>
          <w:rFonts w:hint="default" w:ascii="Times New Roman" w:hAnsi="Times New Roman" w:eastAsia="楷体_GB2312" w:cs="Times New Roman"/>
          <w:color w:val="auto"/>
          <w:kern w:val="0"/>
          <w:sz w:val="33"/>
          <w:szCs w:val="33"/>
          <w:shd w:val="clear" w:color="auto" w:fill="FFFFFF"/>
        </w:rPr>
        <w:t>2.项目执行</w:t>
      </w:r>
      <w:r>
        <w:rPr>
          <w:rFonts w:hint="default" w:ascii="Times New Roman" w:hAnsi="Times New Roman" w:eastAsia="楷体_GB2312" w:cs="Times New Roman"/>
          <w:color w:val="auto"/>
          <w:kern w:val="0"/>
          <w:sz w:val="33"/>
          <w:szCs w:val="33"/>
          <w:shd w:val="clear" w:color="auto" w:fill="FFFFFF"/>
          <w:lang w:val="zh-CN"/>
        </w:rPr>
        <w:t>。</w:t>
      </w:r>
      <w:r>
        <w:rPr>
          <w:rFonts w:hint="default" w:ascii="Times New Roman" w:hAnsi="Times New Roman" w:eastAsia="仿宋_GB2312" w:cs="Times New Roman"/>
          <w:color w:val="auto"/>
          <w:kern w:val="0"/>
          <w:sz w:val="33"/>
          <w:szCs w:val="33"/>
          <w:shd w:val="clear" w:color="auto" w:fill="FFFFFF"/>
          <w:lang w:val="zh-CN"/>
        </w:rPr>
        <w:t>资金执行同向性，严格核查项目实际支出内容与申报绩效目标的契合度，杜绝资金挪用，确保支出方向严格对标预设目标；评估项目执行中遇重大变化时是及时履行调整程序（如目标修正、预算调剂），确保应变合规性；量化分析预算执行率，重点监控执行偏差（滞后或超支），保障资金管控实效。</w:t>
      </w:r>
    </w:p>
    <w:p w14:paraId="6EA745E6">
      <w:pPr>
        <w:spacing w:line="590" w:lineRule="exact"/>
        <w:ind w:firstLine="660" w:firstLineChars="200"/>
        <w:contextualSpacing/>
        <w:rPr>
          <w:rFonts w:hint="default" w:ascii="Times New Roman" w:hAnsi="Times New Roman" w:eastAsia="仿宋_GB2312" w:cs="Times New Roman"/>
          <w:color w:val="auto"/>
          <w:kern w:val="0"/>
          <w:sz w:val="33"/>
          <w:szCs w:val="33"/>
          <w:shd w:val="clear" w:color="auto" w:fill="FFFFFF"/>
          <w:lang w:val="zh-CN"/>
        </w:rPr>
      </w:pPr>
      <w:r>
        <w:rPr>
          <w:rFonts w:hint="default" w:ascii="Times New Roman" w:hAnsi="Times New Roman" w:eastAsia="楷体_GB2312" w:cs="Times New Roman"/>
          <w:color w:val="auto"/>
          <w:kern w:val="0"/>
          <w:sz w:val="33"/>
          <w:szCs w:val="33"/>
          <w:shd w:val="clear" w:color="auto" w:fill="FFFFFF"/>
        </w:rPr>
        <w:t>3.</w:t>
      </w:r>
      <w:r>
        <w:rPr>
          <w:rFonts w:hint="default" w:ascii="Times New Roman" w:hAnsi="Times New Roman" w:eastAsia="楷体_GB2312" w:cs="Times New Roman"/>
          <w:color w:val="auto"/>
          <w:kern w:val="0"/>
          <w:sz w:val="33"/>
          <w:szCs w:val="33"/>
          <w:shd w:val="clear" w:color="auto" w:fill="FFFFFF"/>
          <w:lang w:val="zh-CN"/>
        </w:rPr>
        <w:t>目标实现。</w:t>
      </w:r>
      <w:r>
        <w:rPr>
          <w:rFonts w:hint="default" w:ascii="Times New Roman" w:hAnsi="Times New Roman" w:eastAsia="仿宋_GB2312" w:cs="Times New Roman"/>
          <w:color w:val="auto"/>
          <w:kern w:val="0"/>
          <w:sz w:val="33"/>
          <w:szCs w:val="33"/>
          <w:shd w:val="clear" w:color="auto" w:fill="FFFFFF"/>
          <w:lang w:val="zh-CN"/>
        </w:rPr>
        <w:t>围绕目标完成、目标偏离、实现效果进行绩效分析。</w:t>
      </w:r>
      <w:r>
        <w:rPr>
          <w:rFonts w:hint="default" w:ascii="Times New Roman" w:hAnsi="Times New Roman" w:eastAsia="仿宋_GB2312" w:cs="Times New Roman"/>
          <w:color w:val="auto"/>
          <w:kern w:val="0"/>
          <w:sz w:val="33"/>
          <w:szCs w:val="33"/>
          <w:shd w:val="clear" w:color="auto" w:fill="FFFFFF"/>
          <w:lang w:val="en-US" w:eastAsia="zh-CN"/>
        </w:rPr>
        <w:t>67</w:t>
      </w:r>
      <w:r>
        <w:rPr>
          <w:rFonts w:hint="default" w:ascii="Times New Roman" w:hAnsi="Times New Roman" w:eastAsia="仿宋_GB2312" w:cs="Times New Roman"/>
          <w:color w:val="auto"/>
          <w:kern w:val="0"/>
          <w:sz w:val="33"/>
          <w:szCs w:val="33"/>
          <w:shd w:val="clear" w:color="auto" w:fill="FFFFFF"/>
          <w:lang w:val="zh-CN"/>
        </w:rPr>
        <w:t>个项目全面完成核心指标，包括道路硬化、基础设施建设、道路交通安全等；实施成果有效提升居民生活品质，改善生活环境，群众满意度、认可度高达90%以上。</w:t>
      </w:r>
    </w:p>
    <w:p w14:paraId="6DF8E05F">
      <w:pPr>
        <w:keepNext w:val="0"/>
        <w:keepLines w:val="0"/>
        <w:pageBreakBefore w:val="0"/>
        <w:widowControl w:val="0"/>
        <w:kinsoku/>
        <w:wordWrap/>
        <w:overflowPunct/>
        <w:topLinePunct w:val="0"/>
        <w:autoSpaceDE/>
        <w:autoSpaceDN/>
        <w:bidi w:val="0"/>
        <w:snapToGrid w:val="0"/>
        <w:spacing w:line="578" w:lineRule="exact"/>
        <w:ind w:firstLine="643" w:firstLineChars="200"/>
        <w:jc w:val="left"/>
        <w:textAlignment w:val="auto"/>
        <w:rPr>
          <w:rFonts w:hint="default" w:ascii="Times New Roman" w:hAnsi="Times New Roman" w:eastAsia="仿宋_GB2312" w:cs="Times New Roman"/>
          <w:b/>
          <w:bCs w:val="0"/>
          <w:color w:val="auto"/>
          <w:kern w:val="0"/>
          <w:sz w:val="32"/>
          <w:szCs w:val="32"/>
          <w:highlight w:val="none"/>
          <w:shd w:val="clear" w:color="auto" w:fill="FFFFFF"/>
          <w:lang w:val="zh-CN" w:eastAsia="zh-CN"/>
        </w:rPr>
      </w:pPr>
      <w:r>
        <w:rPr>
          <w:rFonts w:hint="default" w:ascii="Times New Roman" w:hAnsi="Times New Roman" w:eastAsia="楷体_GB2312" w:cs="Times New Roman"/>
          <w:b/>
          <w:bCs/>
          <w:color w:val="auto"/>
          <w:kern w:val="0"/>
          <w:sz w:val="32"/>
          <w:szCs w:val="32"/>
          <w:highlight w:val="none"/>
          <w:shd w:val="clear" w:color="auto" w:fill="FFFFFF"/>
          <w:lang w:val="zh-CN"/>
        </w:rPr>
        <w:t>（三）</w:t>
      </w:r>
      <w:r>
        <w:rPr>
          <w:rFonts w:hint="default" w:ascii="Times New Roman" w:hAnsi="Times New Roman" w:eastAsia="楷体_GB2312" w:cs="Times New Roman"/>
          <w:b/>
          <w:bCs/>
          <w:color w:val="auto"/>
          <w:sz w:val="32"/>
          <w:szCs w:val="32"/>
          <w:lang w:val="zh-CN"/>
        </w:rPr>
        <w:t>绩效结果应用情况。</w:t>
      </w:r>
      <w:r>
        <w:rPr>
          <w:rFonts w:hint="default" w:ascii="Times New Roman" w:hAnsi="Times New Roman" w:eastAsia="仿宋_GB2312" w:cs="Times New Roman"/>
          <w:color w:val="auto"/>
          <w:kern w:val="0"/>
          <w:sz w:val="32"/>
          <w:szCs w:val="32"/>
          <w:highlight w:val="none"/>
          <w:shd w:val="clear" w:color="auto" w:fill="FFFFFF"/>
          <w:lang w:val="zh-CN" w:eastAsia="zh-CN"/>
        </w:rPr>
        <w:t>制定绩效目标，通过乡政府门户网站、政务公示栏等渠道，公开重点项目的绩效目标、执行进度及完成效果，接受社会监督；及时上报相关的用款计划，分月、分季度上报相应计划，待财政审核通过后，严格按计划执行，各季度执行情况良好；对本年度相应用款进行及时清理和处理，做到账账相符、账实相符、账证相符，先有预算再有支出的原则，及时处理相关事务；对绩效目标进行季度梳理和年度分析，及时上报相关报表进行调整，按时完成执行进度；针对绩效评价中发现的“项目支出效率”问题进行专项分析，整改落实。</w:t>
      </w:r>
    </w:p>
    <w:p w14:paraId="679A2D9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lang w:eastAsia="zh-CN"/>
        </w:rPr>
        <w:t>四、</w:t>
      </w:r>
      <w:r>
        <w:rPr>
          <w:rFonts w:hint="default" w:ascii="Times New Roman" w:hAnsi="Times New Roman" w:eastAsia="黑体" w:cs="Times New Roman"/>
          <w:color w:val="auto"/>
          <w:kern w:val="0"/>
          <w:sz w:val="32"/>
          <w:szCs w:val="32"/>
          <w:highlight w:val="none"/>
          <w:shd w:val="clear" w:color="auto" w:fill="FFFFFF"/>
        </w:rPr>
        <w:t>评价结论及建议</w:t>
      </w:r>
    </w:p>
    <w:p w14:paraId="665E0C55">
      <w:pPr>
        <w:spacing w:line="590" w:lineRule="exact"/>
        <w:ind w:firstLine="663" w:firstLineChars="200"/>
        <w:contextualSpacing/>
        <w:rPr>
          <w:rFonts w:hint="default" w:ascii="Times New Roman" w:hAnsi="Times New Roman" w:eastAsia="仿宋_GB2312" w:cs="Times New Roman"/>
          <w:color w:val="auto"/>
          <w:sz w:val="33"/>
          <w:szCs w:val="33"/>
          <w:lang w:val="zh-CN"/>
        </w:rPr>
      </w:pPr>
      <w:r>
        <w:rPr>
          <w:rFonts w:hint="default" w:ascii="Times New Roman" w:hAnsi="Times New Roman" w:eastAsia="楷体_GB2312" w:cs="Times New Roman"/>
          <w:b/>
          <w:bCs/>
          <w:color w:val="auto"/>
          <w:kern w:val="0"/>
          <w:sz w:val="33"/>
          <w:szCs w:val="33"/>
          <w:shd w:val="clear" w:color="auto" w:fill="FFFFFF"/>
          <w:lang w:val="zh-CN"/>
        </w:rPr>
        <w:t>（一）评价结论。</w:t>
      </w:r>
      <w:r>
        <w:rPr>
          <w:rFonts w:hint="default" w:ascii="Times New Roman" w:hAnsi="Times New Roman" w:eastAsia="仿宋_GB2312" w:cs="Times New Roman"/>
          <w:color w:val="auto"/>
          <w:sz w:val="33"/>
          <w:szCs w:val="33"/>
          <w:lang w:val="zh-CN"/>
        </w:rPr>
        <w:t>高笋乡政府部门预算执行情况良好，</w:t>
      </w:r>
      <w:r>
        <w:rPr>
          <w:rFonts w:hint="eastAsia" w:eastAsia="仿宋_GB2312" w:cs="Times New Roman"/>
          <w:color w:val="auto"/>
          <w:sz w:val="33"/>
          <w:szCs w:val="33"/>
          <w:lang w:val="zh-CN"/>
        </w:rPr>
        <w:t>未发现</w:t>
      </w:r>
      <w:r>
        <w:rPr>
          <w:rFonts w:hint="default" w:ascii="Times New Roman" w:hAnsi="Times New Roman" w:eastAsia="仿宋_GB2312" w:cs="Times New Roman"/>
          <w:color w:val="auto"/>
          <w:sz w:val="33"/>
          <w:szCs w:val="33"/>
          <w:lang w:val="zh-CN"/>
        </w:rPr>
        <w:t>不良记录及违规违纪行为，预算支出和决算支出情况相符。</w:t>
      </w:r>
    </w:p>
    <w:p w14:paraId="549A4B23">
      <w:pPr>
        <w:spacing w:line="590" w:lineRule="exact"/>
        <w:ind w:firstLine="663" w:firstLineChars="200"/>
        <w:contextualSpacing/>
        <w:rPr>
          <w:rFonts w:hint="default" w:ascii="Times New Roman" w:hAnsi="Times New Roman" w:eastAsia="仿宋_GB2312" w:cs="Times New Roman"/>
          <w:color w:val="auto"/>
          <w:sz w:val="33"/>
          <w:szCs w:val="33"/>
          <w:lang w:val="zh-CN"/>
        </w:rPr>
      </w:pPr>
      <w:r>
        <w:rPr>
          <w:rFonts w:hint="default" w:ascii="Times New Roman" w:hAnsi="Times New Roman" w:eastAsia="楷体_GB2312" w:cs="Times New Roman"/>
          <w:b/>
          <w:bCs/>
          <w:color w:val="auto"/>
          <w:kern w:val="0"/>
          <w:sz w:val="33"/>
          <w:szCs w:val="33"/>
          <w:shd w:val="clear" w:color="auto" w:fill="FFFFFF"/>
          <w:lang w:val="zh-CN"/>
        </w:rPr>
        <w:t>（二）存在问题。</w:t>
      </w:r>
      <w:r>
        <w:rPr>
          <w:rFonts w:hint="default" w:ascii="Times New Roman" w:hAnsi="Times New Roman" w:eastAsia="仿宋_GB2312" w:cs="Times New Roman"/>
          <w:color w:val="auto"/>
          <w:sz w:val="33"/>
          <w:szCs w:val="33"/>
          <w:lang w:val="zh-CN"/>
        </w:rPr>
        <w:t>一是预算经费支出明细科目与支出明细科目存在差异；二是</w:t>
      </w:r>
      <w:r>
        <w:rPr>
          <w:rFonts w:hint="default" w:ascii="Times New Roman" w:hAnsi="Times New Roman" w:eastAsia="仿宋_GB2312" w:cs="Times New Roman"/>
          <w:color w:val="auto"/>
          <w:sz w:val="33"/>
          <w:szCs w:val="33"/>
          <w:lang w:val="en-US" w:eastAsia="zh-CN"/>
        </w:rPr>
        <w:t>完成</w:t>
      </w:r>
      <w:r>
        <w:rPr>
          <w:rFonts w:hint="default" w:ascii="Times New Roman" w:hAnsi="Times New Roman" w:eastAsia="仿宋_GB2312" w:cs="Times New Roman"/>
          <w:color w:val="auto"/>
          <w:sz w:val="33"/>
          <w:szCs w:val="33"/>
          <w:lang w:val="zh-CN"/>
        </w:rPr>
        <w:t>部门</w:t>
      </w:r>
      <w:r>
        <w:rPr>
          <w:rFonts w:hint="default" w:ascii="Times New Roman" w:hAnsi="Times New Roman" w:eastAsia="仿宋_GB2312" w:cs="Times New Roman"/>
          <w:color w:val="auto"/>
          <w:sz w:val="33"/>
          <w:szCs w:val="33"/>
          <w:lang w:val="en-US" w:eastAsia="zh-CN"/>
        </w:rPr>
        <w:t>预算进度</w:t>
      </w:r>
      <w:r>
        <w:rPr>
          <w:rFonts w:hint="default" w:ascii="Times New Roman" w:hAnsi="Times New Roman" w:eastAsia="仿宋_GB2312" w:cs="Times New Roman"/>
          <w:color w:val="auto"/>
          <w:sz w:val="33"/>
          <w:szCs w:val="33"/>
          <w:lang w:val="zh-CN"/>
        </w:rPr>
        <w:t>效率还待提升。</w:t>
      </w:r>
    </w:p>
    <w:p w14:paraId="00579509">
      <w:pPr>
        <w:spacing w:line="590" w:lineRule="exact"/>
        <w:ind w:firstLine="663" w:firstLineChars="200"/>
        <w:contextualSpacing/>
        <w:rPr>
          <w:rFonts w:hint="default" w:ascii="Times New Roman" w:hAnsi="Times New Roman" w:eastAsia="仿宋_GB2312" w:cs="Times New Roman"/>
          <w:color w:val="auto"/>
          <w:sz w:val="33"/>
          <w:szCs w:val="33"/>
          <w:lang w:val="en-US" w:eastAsia="zh-CN"/>
        </w:rPr>
      </w:pPr>
      <w:r>
        <w:rPr>
          <w:rFonts w:hint="default" w:ascii="Times New Roman" w:hAnsi="Times New Roman" w:eastAsia="楷体_GB2312" w:cs="Times New Roman"/>
          <w:b/>
          <w:bCs/>
          <w:color w:val="auto"/>
          <w:kern w:val="0"/>
          <w:sz w:val="33"/>
          <w:szCs w:val="33"/>
          <w:shd w:val="clear" w:color="auto" w:fill="FFFFFF"/>
          <w:lang w:val="zh-CN"/>
        </w:rPr>
        <w:t>（三）改进建议。</w:t>
      </w:r>
      <w:bookmarkStart w:id="63" w:name="_Hlk110546638"/>
      <w:r>
        <w:rPr>
          <w:rFonts w:hint="default" w:ascii="Times New Roman" w:hAnsi="Times New Roman" w:eastAsia="仿宋_GB2312" w:cs="Times New Roman"/>
          <w:color w:val="auto"/>
          <w:sz w:val="33"/>
          <w:szCs w:val="33"/>
          <w:lang w:val="en-US" w:eastAsia="zh-CN"/>
        </w:rPr>
        <w:t>加强业务人员相关培训，提高工作效率和能力。</w:t>
      </w:r>
      <w:bookmarkEnd w:id="63"/>
    </w:p>
    <w:p w14:paraId="60C61D02">
      <w:pPr>
        <w:keepNext w:val="0"/>
        <w:keepLines w:val="0"/>
        <w:pageBreakBefore w:val="0"/>
        <w:kinsoku/>
        <w:wordWrap/>
        <w:overflowPunct/>
        <w:topLinePunct w:val="0"/>
        <w:autoSpaceDE/>
        <w:autoSpaceDN/>
        <w:bidi w:val="0"/>
        <w:spacing w:line="578" w:lineRule="exact"/>
        <w:contextualSpacing/>
        <w:jc w:val="left"/>
        <w:textAlignment w:val="auto"/>
        <w:outlineLvl w:val="9"/>
        <w:rPr>
          <w:rFonts w:hint="default" w:ascii="Times New Roman" w:hAnsi="Times New Roman" w:eastAsia="黑体" w:cs="Times New Roman"/>
          <w:color w:val="auto"/>
          <w:sz w:val="32"/>
          <w:szCs w:val="32"/>
          <w:highlight w:val="none"/>
          <w:lang w:val="en-US" w:eastAsia="zh-CN"/>
        </w:rPr>
      </w:pPr>
    </w:p>
    <w:p w14:paraId="00723CEB">
      <w:pPr>
        <w:keepNext w:val="0"/>
        <w:keepLines w:val="0"/>
        <w:pageBreakBefore w:val="0"/>
        <w:kinsoku/>
        <w:wordWrap/>
        <w:overflowPunct/>
        <w:topLinePunct w:val="0"/>
        <w:autoSpaceDE/>
        <w:autoSpaceDN/>
        <w:bidi w:val="0"/>
        <w:spacing w:line="578" w:lineRule="exact"/>
        <w:contextualSpacing/>
        <w:jc w:val="left"/>
        <w:textAlignment w:val="auto"/>
        <w:outlineLvl w:val="9"/>
        <w:rPr>
          <w:rFonts w:hint="default" w:ascii="Times New Roman" w:hAnsi="Times New Roman" w:eastAsia="黑体" w:cs="Times New Roman"/>
          <w:color w:val="auto"/>
          <w:sz w:val="32"/>
          <w:szCs w:val="32"/>
          <w:highlight w:val="none"/>
          <w:lang w:val="en-US" w:eastAsia="zh-CN"/>
        </w:rPr>
      </w:pPr>
    </w:p>
    <w:p w14:paraId="2D0D5B3A">
      <w:pPr>
        <w:keepNext w:val="0"/>
        <w:keepLines w:val="0"/>
        <w:pageBreakBefore w:val="0"/>
        <w:kinsoku/>
        <w:wordWrap/>
        <w:overflowPunct/>
        <w:topLinePunct w:val="0"/>
        <w:autoSpaceDE/>
        <w:autoSpaceDN/>
        <w:bidi w:val="0"/>
        <w:spacing w:line="578" w:lineRule="exact"/>
        <w:contextualSpacing/>
        <w:jc w:val="left"/>
        <w:textAlignment w:val="auto"/>
        <w:outlineLvl w:val="9"/>
        <w:rPr>
          <w:rFonts w:hint="default" w:ascii="Times New Roman" w:hAnsi="Times New Roman" w:eastAsia="黑体" w:cs="Times New Roman"/>
          <w:color w:val="auto"/>
          <w:sz w:val="32"/>
          <w:szCs w:val="32"/>
          <w:highlight w:val="none"/>
          <w:lang w:val="en-US" w:eastAsia="zh-CN"/>
        </w:rPr>
      </w:pPr>
    </w:p>
    <w:p w14:paraId="2003D153">
      <w:pPr>
        <w:keepNext w:val="0"/>
        <w:keepLines w:val="0"/>
        <w:pageBreakBefore w:val="0"/>
        <w:kinsoku/>
        <w:wordWrap/>
        <w:overflowPunct/>
        <w:topLinePunct w:val="0"/>
        <w:autoSpaceDE/>
        <w:autoSpaceDN/>
        <w:bidi w:val="0"/>
        <w:spacing w:line="578" w:lineRule="exact"/>
        <w:ind w:firstLine="640" w:firstLineChars="200"/>
        <w:jc w:val="left"/>
        <w:textAlignment w:val="auto"/>
        <w:rPr>
          <w:rFonts w:hint="default" w:ascii="Times New Roman" w:hAnsi="Times New Roman" w:eastAsia="仿宋_GB2312" w:cs="Times New Roman"/>
          <w:color w:val="auto"/>
          <w:kern w:val="0"/>
          <w:sz w:val="32"/>
          <w:szCs w:val="32"/>
          <w:highlight w:val="none"/>
          <w:shd w:val="clear" w:color="auto" w:fill="FFFFFF"/>
          <w:lang w:val="en-US" w:eastAsia="zh-CN"/>
        </w:rPr>
      </w:pPr>
      <w:r>
        <w:rPr>
          <w:rFonts w:hint="default" w:ascii="Times New Roman" w:hAnsi="Times New Roman" w:eastAsia="仿宋_GB2312" w:cs="Times New Roman"/>
          <w:color w:val="auto"/>
          <w:kern w:val="0"/>
          <w:sz w:val="32"/>
          <w:szCs w:val="32"/>
          <w:highlight w:val="none"/>
          <w:shd w:val="clear" w:color="auto" w:fill="FFFFFF"/>
          <w:lang w:val="en-US" w:eastAsia="zh-CN"/>
        </w:rPr>
        <w:t>附表：</w:t>
      </w:r>
      <w:r>
        <w:rPr>
          <w:rFonts w:hint="eastAsia" w:eastAsia="仿宋_GB2312" w:cs="Times New Roman"/>
          <w:strike w:val="0"/>
          <w:color w:val="auto"/>
          <w:sz w:val="32"/>
          <w:szCs w:val="32"/>
          <w:u w:val="none"/>
          <w:lang w:val="en-US" w:eastAsia="zh-CN" w:bidi="ar"/>
        </w:rPr>
        <w:t>1</w:t>
      </w:r>
      <w:r>
        <w:rPr>
          <w:rFonts w:hint="default" w:ascii="Times New Roman" w:hAnsi="Times New Roman" w:eastAsia="仿宋_GB2312" w:cs="Times New Roman"/>
          <w:strike w:val="0"/>
          <w:color w:val="auto"/>
          <w:sz w:val="32"/>
          <w:szCs w:val="32"/>
          <w:u w:val="none"/>
          <w:lang w:val="en-US" w:eastAsia="zh-CN" w:bidi="ar"/>
        </w:rPr>
        <w:t>.</w:t>
      </w:r>
      <w:r>
        <w:rPr>
          <w:rFonts w:hint="default" w:ascii="Times New Roman" w:hAnsi="Times New Roman" w:eastAsia="仿宋_GB2312" w:cs="Times New Roman"/>
          <w:color w:val="auto"/>
          <w:kern w:val="0"/>
          <w:sz w:val="32"/>
          <w:szCs w:val="32"/>
          <w:highlight w:val="none"/>
          <w:shd w:val="clear" w:color="auto" w:fill="FFFFFF"/>
          <w:lang w:val="en-US" w:eastAsia="zh-CN"/>
        </w:rPr>
        <w:t>部门整体支出绩效目标完成情况自评表</w:t>
      </w:r>
    </w:p>
    <w:p w14:paraId="1403F44C">
      <w:pPr>
        <w:keepNext w:val="0"/>
        <w:keepLines w:val="0"/>
        <w:pageBreakBefore w:val="0"/>
        <w:kinsoku/>
        <w:wordWrap/>
        <w:overflowPunct/>
        <w:topLinePunct w:val="0"/>
        <w:autoSpaceDE/>
        <w:autoSpaceDN/>
        <w:bidi w:val="0"/>
        <w:spacing w:line="578" w:lineRule="exact"/>
        <w:ind w:firstLine="1600" w:firstLineChars="500"/>
        <w:jc w:val="left"/>
        <w:textAlignment w:val="auto"/>
        <w:rPr>
          <w:rFonts w:hint="default" w:ascii="Times New Roman" w:hAnsi="Times New Roman" w:eastAsia="仿宋_GB2312" w:cs="Times New Roman"/>
          <w:strike w:val="0"/>
          <w:color w:val="auto"/>
          <w:sz w:val="32"/>
          <w:szCs w:val="32"/>
          <w:u w:val="none"/>
          <w:lang w:eastAsia="zh-CN" w:bidi="ar"/>
        </w:rPr>
      </w:pPr>
      <w:r>
        <w:rPr>
          <w:rFonts w:hint="eastAsia" w:eastAsia="仿宋_GB2312" w:cs="Times New Roman"/>
          <w:color w:val="auto"/>
          <w:kern w:val="0"/>
          <w:sz w:val="32"/>
          <w:szCs w:val="32"/>
          <w:highlight w:val="none"/>
          <w:shd w:val="clear" w:color="auto" w:fill="FFFFFF"/>
          <w:lang w:val="en-US" w:eastAsia="zh-CN"/>
        </w:rPr>
        <w:t>2</w:t>
      </w:r>
      <w:r>
        <w:rPr>
          <w:rFonts w:hint="default" w:ascii="Times New Roman" w:hAnsi="Times New Roman" w:eastAsia="仿宋_GB2312" w:cs="Times New Roman"/>
          <w:color w:val="auto"/>
          <w:kern w:val="0"/>
          <w:sz w:val="32"/>
          <w:szCs w:val="32"/>
          <w:highlight w:val="none"/>
          <w:shd w:val="clear" w:color="auto" w:fill="FFFFFF"/>
          <w:lang w:val="en-US" w:eastAsia="zh-CN"/>
        </w:rPr>
        <w:t>.</w:t>
      </w:r>
      <w:r>
        <w:rPr>
          <w:rFonts w:hint="default" w:ascii="Times New Roman" w:hAnsi="Times New Roman" w:eastAsia="仿宋_GB2312" w:cs="Times New Roman"/>
          <w:strike w:val="0"/>
          <w:color w:val="auto"/>
          <w:sz w:val="32"/>
          <w:szCs w:val="32"/>
          <w:u w:val="none"/>
          <w:lang w:bidi="ar"/>
        </w:rPr>
        <w:t>专项预算项目绩效自评报告</w:t>
      </w:r>
    </w:p>
    <w:p w14:paraId="351E6310">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仿宋_GB2312" w:cs="Times New Roman"/>
          <w:color w:val="auto"/>
          <w:kern w:val="0"/>
          <w:sz w:val="32"/>
          <w:szCs w:val="32"/>
          <w:highlight w:val="none"/>
          <w:shd w:val="clear" w:color="auto" w:fill="FFFFFF"/>
          <w:lang w:val="en-US" w:eastAsia="zh-CN"/>
        </w:rPr>
        <w:br w:type="page"/>
      </w:r>
    </w:p>
    <w:p w14:paraId="2A4656DD">
      <w:pPr>
        <w:keepNext w:val="0"/>
        <w:keepLines w:val="0"/>
        <w:pageBreakBefore w:val="0"/>
        <w:kinsoku/>
        <w:wordWrap/>
        <w:overflowPunct/>
        <w:topLinePunct w:val="0"/>
        <w:autoSpaceDE/>
        <w:autoSpaceDN/>
        <w:bidi w:val="0"/>
        <w:spacing w:line="578" w:lineRule="exact"/>
        <w:jc w:val="left"/>
        <w:textAlignment w:val="auto"/>
        <w:rPr>
          <w:rFonts w:hint="default" w:ascii="Times New Roman" w:hAnsi="Times New Roman" w:eastAsia="黑体" w:cs="Times New Roman"/>
          <w:color w:val="auto"/>
          <w:kern w:val="2"/>
          <w:sz w:val="32"/>
          <w:szCs w:val="24"/>
          <w:highlight w:val="none"/>
          <w:lang w:val="en-US" w:eastAsia="zh-CN" w:bidi="ar-SA"/>
        </w:rPr>
      </w:pPr>
      <w:r>
        <w:rPr>
          <w:rFonts w:hint="default" w:ascii="Times New Roman" w:hAnsi="Times New Roman" w:eastAsia="黑体" w:cs="Times New Roman"/>
          <w:color w:val="auto"/>
          <w:kern w:val="2"/>
          <w:sz w:val="32"/>
          <w:szCs w:val="24"/>
          <w:highlight w:val="none"/>
          <w:lang w:val="en-US" w:eastAsia="zh-CN" w:bidi="ar-SA"/>
        </w:rPr>
        <w:t>附表2</w:t>
      </w: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7"/>
        <w:gridCol w:w="1191"/>
        <w:gridCol w:w="1196"/>
        <w:gridCol w:w="1831"/>
        <w:gridCol w:w="956"/>
        <w:gridCol w:w="1115"/>
        <w:gridCol w:w="718"/>
        <w:gridCol w:w="568"/>
      </w:tblGrid>
      <w:tr w14:paraId="47A0E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8"/>
            <w:tcBorders>
              <w:top w:val="nil"/>
              <w:left w:val="nil"/>
              <w:bottom w:val="nil"/>
              <w:right w:val="nil"/>
            </w:tcBorders>
            <w:shd w:val="clear" w:color="auto" w:fill="auto"/>
            <w:vAlign w:val="center"/>
          </w:tcPr>
          <w:p w14:paraId="615893C1">
            <w:pPr>
              <w:keepNext w:val="0"/>
              <w:keepLines w:val="0"/>
              <w:widowControl/>
              <w:suppressLineNumbers w:val="0"/>
              <w:jc w:val="center"/>
              <w:textAlignment w:val="center"/>
              <w:rPr>
                <w:rFonts w:hint="default" w:ascii="Times New Roman" w:hAnsi="Times New Roman" w:eastAsia="黑体" w:cs="Times New Roman"/>
                <w:i w:val="0"/>
                <w:iCs w:val="0"/>
                <w:color w:val="auto"/>
                <w:sz w:val="30"/>
                <w:szCs w:val="30"/>
                <w:u w:val="none"/>
              </w:rPr>
            </w:pPr>
            <w:r>
              <w:rPr>
                <w:rFonts w:hint="default" w:ascii="Times New Roman" w:hAnsi="Times New Roman" w:eastAsia="黑体" w:cs="Times New Roman"/>
                <w:i w:val="0"/>
                <w:iCs w:val="0"/>
                <w:color w:val="auto"/>
                <w:kern w:val="0"/>
                <w:sz w:val="36"/>
                <w:szCs w:val="36"/>
                <w:u w:val="none"/>
                <w:lang w:val="en-US" w:eastAsia="zh-CN" w:bidi="ar"/>
              </w:rPr>
              <w:t>部门整体支出绩效目标完成情况自评表</w:t>
            </w:r>
          </w:p>
        </w:tc>
      </w:tr>
      <w:tr w14:paraId="6FB7F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8"/>
            <w:tcBorders>
              <w:top w:val="nil"/>
              <w:left w:val="nil"/>
              <w:bottom w:val="nil"/>
              <w:right w:val="nil"/>
            </w:tcBorders>
            <w:shd w:val="clear" w:color="auto" w:fill="auto"/>
            <w:vAlign w:val="center"/>
          </w:tcPr>
          <w:p w14:paraId="08F71B9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（2025年度）</w:t>
            </w:r>
          </w:p>
        </w:tc>
      </w:tr>
      <w:tr w14:paraId="583C9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8"/>
            <w:tcBorders>
              <w:top w:val="nil"/>
              <w:left w:val="nil"/>
              <w:bottom w:val="single" w:color="000000" w:sz="4" w:space="0"/>
              <w:right w:val="nil"/>
            </w:tcBorders>
            <w:shd w:val="clear" w:color="auto" w:fill="auto"/>
            <w:vAlign w:val="center"/>
          </w:tcPr>
          <w:p w14:paraId="3B0627DD">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金额单位：万元</w:t>
            </w:r>
          </w:p>
        </w:tc>
      </w:tr>
      <w:tr w14:paraId="1AADA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195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0E03D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部门名称</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6AEC1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高笋乡乡镇</w:t>
            </w:r>
          </w:p>
        </w:tc>
      </w:tr>
      <w:tr w14:paraId="49157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4C0A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年度部门整体支出预算</w:t>
            </w: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DA2E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资金总额</w:t>
            </w:r>
          </w:p>
        </w:tc>
        <w:tc>
          <w:tcPr>
            <w:tcW w:w="16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6E51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财政拨款</w:t>
            </w:r>
          </w:p>
        </w:tc>
        <w:tc>
          <w:tcPr>
            <w:tcW w:w="14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CD470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其他资金</w:t>
            </w:r>
          </w:p>
        </w:tc>
      </w:tr>
      <w:tr w14:paraId="3F0B9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95EA8">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2AF4A">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u w:val="none"/>
                <w:lang w:val="en-US"/>
              </w:rPr>
            </w:pPr>
            <w:r>
              <w:rPr>
                <w:rFonts w:hint="default" w:ascii="Times New Roman" w:hAnsi="Times New Roman" w:eastAsia="宋体" w:cs="Times New Roman"/>
                <w:i w:val="0"/>
                <w:iCs w:val="0"/>
                <w:color w:val="auto"/>
                <w:kern w:val="0"/>
                <w:sz w:val="18"/>
                <w:szCs w:val="18"/>
                <w:u w:val="none"/>
                <w:lang w:val="en-US" w:eastAsia="zh-CN" w:bidi="ar"/>
              </w:rPr>
              <w:t>940.7</w:t>
            </w:r>
          </w:p>
        </w:tc>
        <w:tc>
          <w:tcPr>
            <w:tcW w:w="163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ECE87">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u w:val="none"/>
                <w:lang w:val="en-US"/>
              </w:rPr>
            </w:pPr>
            <w:r>
              <w:rPr>
                <w:rFonts w:hint="default" w:ascii="Times New Roman" w:hAnsi="Times New Roman" w:eastAsia="宋体" w:cs="Times New Roman"/>
                <w:i w:val="0"/>
                <w:iCs w:val="0"/>
                <w:color w:val="auto"/>
                <w:kern w:val="0"/>
                <w:sz w:val="18"/>
                <w:szCs w:val="18"/>
                <w:u w:val="none"/>
                <w:lang w:val="en-US" w:eastAsia="zh-CN" w:bidi="ar"/>
              </w:rPr>
              <w:t>925.76</w:t>
            </w:r>
          </w:p>
        </w:tc>
        <w:tc>
          <w:tcPr>
            <w:tcW w:w="14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93A198">
            <w:pPr>
              <w:keepNext w:val="0"/>
              <w:keepLines w:val="0"/>
              <w:widowControl/>
              <w:suppressLineNumbers w:val="0"/>
              <w:jc w:val="right"/>
              <w:textAlignment w:val="center"/>
              <w:rPr>
                <w:rFonts w:hint="default" w:ascii="Times New Roman" w:hAnsi="Times New Roman" w:eastAsia="宋体" w:cs="Times New Roman"/>
                <w:i w:val="0"/>
                <w:iCs w:val="0"/>
                <w:color w:val="auto"/>
                <w:sz w:val="18"/>
                <w:szCs w:val="18"/>
                <w:u w:val="none"/>
                <w:lang w:val="en-US"/>
              </w:rPr>
            </w:pPr>
            <w:r>
              <w:rPr>
                <w:rFonts w:hint="default" w:ascii="Times New Roman" w:hAnsi="Times New Roman" w:eastAsia="宋体" w:cs="Times New Roman"/>
                <w:i w:val="0"/>
                <w:iCs w:val="0"/>
                <w:color w:val="auto"/>
                <w:kern w:val="0"/>
                <w:sz w:val="18"/>
                <w:szCs w:val="18"/>
                <w:u w:val="none"/>
                <w:lang w:val="en-US" w:eastAsia="zh-CN" w:bidi="ar"/>
              </w:rPr>
              <w:t>14.94</w:t>
            </w:r>
          </w:p>
        </w:tc>
      </w:tr>
      <w:tr w14:paraId="3CCEC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BD8B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年度总体目标</w:t>
            </w:r>
          </w:p>
        </w:tc>
        <w:tc>
          <w:tcPr>
            <w:tcW w:w="4443"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7F6A19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主要是保障我乡部门机构正常运转、完成日常工作任务以及承担本乡镇事业发展相关工作。基本支出是保障政府机关、事业单位等机构正常运转的日常支出，包括基本工资、津贴补贴等人员经费以及办公费、印刷费、水电费等日常公用经费。项目支出是保障政府机关、事业单位等机构为完成特定的行政工作任务或事业发展目标，用于专项业务工作的经费支出。项目申报严格按照上级要求，明确绩效目标，控制支行成本，提高项目发挥作用；项目资金主要用于基层司法所业务、普法宣传教育、老年协会活动、城乡环境卫生、困难救助、农村公益事业、农村道路建设等支出。项目支出严格按照用款计划，分季度执行，并制定项目资金管理办法、中长期规划等制度建设；项目实施完成后使本村环境更优美、经济更稳定、社会更和谐，法制、老年活动、环境卫生、司法援助、安全建设均达到预期经济、社会目标。绩效管理严格按照上级部门要求，开展自评工作，对评价结果及时总结上报。</w:t>
            </w:r>
          </w:p>
        </w:tc>
      </w:tr>
      <w:tr w14:paraId="390E7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9409B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年度主要任务</w:t>
            </w: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B024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任务名称</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04C53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主要内容</w:t>
            </w:r>
          </w:p>
        </w:tc>
      </w:tr>
      <w:tr w14:paraId="0C1BD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2F74B">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D2E7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保障农林水事务正常运行</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2D49C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主要用于村级公共运行维护和村、社、组干部报酬，村社办公费等。</w:t>
            </w:r>
          </w:p>
        </w:tc>
      </w:tr>
      <w:tr w14:paraId="111AD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ED357">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E97F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乡村环境治理持续推进   </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E2E7DC">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主要用于场镇及省道103线沿线垃圾清理及保洁员生活补助和村级生活垃圾治理。 </w:t>
            </w:r>
          </w:p>
        </w:tc>
      </w:tr>
      <w:tr w14:paraId="472CB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9E9C7">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2AF0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驻村工作顺利开展</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4BF27C">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保障驻村工作队工作顺利开展以及驻村队员工作经费。</w:t>
            </w:r>
          </w:p>
        </w:tc>
      </w:tr>
      <w:tr w14:paraId="114B8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3114B">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8DD3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保障公共安全工作正常开展 </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84512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主要用于开展普法宣传工作。    </w:t>
            </w:r>
          </w:p>
        </w:tc>
      </w:tr>
      <w:tr w14:paraId="5691B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6AE2F">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EBD1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保障单位正常运转  </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65228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主要用于政府机关人员工资、日常运转、人大会议和代表工作、群团、妇联等方面的支出以及为完成特定行政工作任务和事业发展目标而安排的项目支出。保障机关正常运转，行政权力正常运行。    </w:t>
            </w:r>
          </w:p>
        </w:tc>
      </w:tr>
      <w:tr w14:paraId="0A13F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6F59B">
            <w:pPr>
              <w:jc w:val="center"/>
              <w:rPr>
                <w:rFonts w:hint="default" w:ascii="Times New Roman" w:hAnsi="Times New Roman" w:eastAsia="宋体" w:cs="Times New Roman"/>
                <w:i w:val="0"/>
                <w:iCs w:val="0"/>
                <w:color w:val="auto"/>
                <w:sz w:val="18"/>
                <w:szCs w:val="18"/>
                <w:u w:val="none"/>
              </w:rPr>
            </w:pPr>
          </w:p>
        </w:tc>
        <w:tc>
          <w:tcPr>
            <w:tcW w:w="14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3055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保障民兵工作正常开展 </w:t>
            </w:r>
          </w:p>
        </w:tc>
        <w:tc>
          <w:tcPr>
            <w:tcW w:w="304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D4F17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完成全年民兵整租及训练任务。 </w:t>
            </w:r>
          </w:p>
        </w:tc>
      </w:tr>
      <w:tr w14:paraId="7D024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C60F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年度绩效指标</w:t>
            </w: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0AAF2">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一级指标</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D611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二级指标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269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2B5B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绩效指标性质</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87C0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绩效指标值</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CFEB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绩效度量单位</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9DE1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权重</w:t>
            </w:r>
          </w:p>
        </w:tc>
      </w:tr>
      <w:tr w14:paraId="3F2A8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385E5">
            <w:pPr>
              <w:jc w:val="center"/>
              <w:rPr>
                <w:rFonts w:hint="default" w:ascii="Times New Roman" w:hAnsi="Times New Roman" w:eastAsia="宋体" w:cs="Times New Roman"/>
                <w:i w:val="0"/>
                <w:iCs w:val="0"/>
                <w:color w:val="auto"/>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3126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产出指标</w:t>
            </w: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BCB2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数量指标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1133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保障正常运转的村（社区）数量</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EA7A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55C3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AD03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个</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7A20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r>
      <w:tr w14:paraId="582E8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BDD28">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77794">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5AA84">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3CBE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开展民兵训练次数</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03678">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0517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eastAsia" w:ascii="Times New Roman" w:hAnsi="Times New Roman" w:eastAsia="宋体" w:cs="Times New Roman"/>
                <w:i w:val="0"/>
                <w:iCs w:val="0"/>
                <w:color w:val="auto"/>
                <w:kern w:val="0"/>
                <w:sz w:val="18"/>
                <w:szCs w:val="18"/>
                <w:u w:val="none"/>
                <w:lang w:val="en-US" w:eastAsia="zh-CN" w:bidi="ar"/>
              </w:rPr>
              <w:t>1</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1C3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次</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9F3E8">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r>
      <w:tr w14:paraId="3E77F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34497">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81363">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7E159">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D2D1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开展普法宣传工作次数</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616D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3F4B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61CB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次</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B64C3">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r>
      <w:tr w14:paraId="1DB6B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F504D">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C9CEB">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57251">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776F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运维费发放保障村数</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53C2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AAE6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5DEA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个</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25A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r>
      <w:tr w14:paraId="79141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56AF1">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7F20B">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CEBD8">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8338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驻村工作队员数量</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4799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C53A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1B1B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人</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5494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207ED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7F078">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8E9B7">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E0136">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543D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保障机关事业单位正常运转数量</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8D03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F90A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74C6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个</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86ECC">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w:t>
            </w:r>
          </w:p>
        </w:tc>
      </w:tr>
      <w:tr w14:paraId="736AC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28A14">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26AB9">
            <w:pPr>
              <w:jc w:val="left"/>
              <w:rPr>
                <w:rFonts w:hint="default" w:ascii="Times New Roman" w:hAnsi="Times New Roman" w:eastAsia="宋体" w:cs="Times New Roman"/>
                <w:i w:val="0"/>
                <w:iCs w:val="0"/>
                <w:color w:val="auto"/>
                <w:sz w:val="18"/>
                <w:szCs w:val="18"/>
                <w:u w:val="none"/>
              </w:rPr>
            </w:pP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04C8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质量指标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F40F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高质量完成垃圾清运</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1F28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76EB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E7E69">
            <w:pPr>
              <w:jc w:val="left"/>
              <w:rPr>
                <w:rFonts w:hint="default" w:ascii="Times New Roman" w:hAnsi="Times New Roman" w:eastAsia="宋体" w:cs="Times New Roman"/>
                <w:i w:val="0"/>
                <w:iCs w:val="0"/>
                <w:color w:val="auto"/>
                <w:sz w:val="18"/>
                <w:szCs w:val="18"/>
                <w:u w:val="none"/>
                <w:lang w:eastAsia="zh-CN"/>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1DB1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2E32A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44AD1">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1EB4A">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525F6">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6343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保障机关正常运行、各项工作顺利开展</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BA46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F231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469CD">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269EA">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06CA5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7F46C">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99ADE">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38804">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C779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保证驻村工作队工作顺利开展</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4900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FA7C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DD0B">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779E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0FE1E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82518">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2089E">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F0F89">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27708">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民兵参训率</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A762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B6CDD">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90</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58CE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312E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74E3E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FFBE3">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A1A12">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DFF14">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C53E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宣传覆盖率</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015B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722E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90</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B26A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4220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60A88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8AA60">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95187">
            <w:pPr>
              <w:jc w:val="left"/>
              <w:rPr>
                <w:rFonts w:hint="default" w:ascii="Times New Roman" w:hAnsi="Times New Roman" w:eastAsia="宋体" w:cs="Times New Roman"/>
                <w:i w:val="0"/>
                <w:iCs w:val="0"/>
                <w:color w:val="auto"/>
                <w:sz w:val="18"/>
                <w:szCs w:val="18"/>
                <w:u w:val="none"/>
              </w:rPr>
            </w:pP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17E0C">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时效指标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AF1E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村警补贴到位时间</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C301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9264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066B3">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月</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1873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4C454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28DB8">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E4BBA">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A6778">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5E75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工作经费到位时间</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A8AF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3D3CA">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D272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月</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D903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740FA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3600D">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A64DC">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4B162">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FC35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普法宣传工作完成时间</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0177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398E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C385D">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月</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06C5A">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7745C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00CAC">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E5FE3">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38295">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978A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确保每月各类经费及时划拨</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2C5B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EF3F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100</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20EB3">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918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55EDA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11FD2">
            <w:pPr>
              <w:jc w:val="center"/>
              <w:rPr>
                <w:rFonts w:hint="default" w:ascii="Times New Roman" w:hAnsi="Times New Roman" w:eastAsia="宋体" w:cs="Times New Roman"/>
                <w:i w:val="0"/>
                <w:iCs w:val="0"/>
                <w:color w:val="auto"/>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3970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效益指标</w:t>
            </w: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AF19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社会效益指标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5B6A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减少安全事故发生</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0F0A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061D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53051">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7D96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6C00E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8957F">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CE3C5">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6D015">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B510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体现党对乡村振兴的关怀和重视</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3EECA">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929E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537B9">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D109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407E2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5303E">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CF7F4">
            <w:pPr>
              <w:jc w:val="left"/>
              <w:rPr>
                <w:rFonts w:hint="default" w:ascii="Times New Roman" w:hAnsi="Times New Roman" w:eastAsia="宋体" w:cs="Times New Roman"/>
                <w:i w:val="0"/>
                <w:iCs w:val="0"/>
                <w:color w:val="auto"/>
                <w:sz w:val="18"/>
                <w:szCs w:val="18"/>
                <w:u w:val="none"/>
              </w:rPr>
            </w:pP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9FCC5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生态效益指标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572F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群众知法守法显著提升</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4267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7D3E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F9C1D">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5CDD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04179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EA662">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58D16">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7C40D">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905A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生态环境明显改善，指标值达到“优”</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9A43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B5CF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7EE94">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8186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553D9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3FB10">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2E398">
            <w:pPr>
              <w:jc w:val="left"/>
              <w:rPr>
                <w:rFonts w:hint="default" w:ascii="Times New Roman" w:hAnsi="Times New Roman" w:eastAsia="宋体" w:cs="Times New Roman"/>
                <w:i w:val="0"/>
                <w:iCs w:val="0"/>
                <w:color w:val="auto"/>
                <w:sz w:val="18"/>
                <w:szCs w:val="18"/>
                <w:u w:val="none"/>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DC5E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可持续影响指标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48FC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改善农村环境面貌</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55707">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定性</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B643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优良中低差</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C6DC9">
            <w:pPr>
              <w:jc w:val="left"/>
              <w:rPr>
                <w:rFonts w:hint="default" w:ascii="Times New Roman" w:hAnsi="Times New Roman" w:eastAsia="宋体" w:cs="Times New Roman"/>
                <w:i w:val="0"/>
                <w:iCs w:val="0"/>
                <w:color w:val="auto"/>
                <w:sz w:val="18"/>
                <w:szCs w:val="18"/>
                <w:u w:val="none"/>
              </w:rPr>
            </w:pP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1F81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6E627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43409">
            <w:pPr>
              <w:jc w:val="center"/>
              <w:rPr>
                <w:rFonts w:hint="default" w:ascii="Times New Roman" w:hAnsi="Times New Roman" w:eastAsia="宋体" w:cs="Times New Roman"/>
                <w:i w:val="0"/>
                <w:iCs w:val="0"/>
                <w:color w:val="auto"/>
                <w:sz w:val="18"/>
                <w:szCs w:val="18"/>
                <w:u w:val="none"/>
              </w:rPr>
            </w:pPr>
          </w:p>
        </w:tc>
        <w:tc>
          <w:tcPr>
            <w:tcW w:w="6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2A7F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满意度指标</w:t>
            </w:r>
          </w:p>
        </w:tc>
        <w:tc>
          <w:tcPr>
            <w:tcW w:w="7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4E4C6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服务对象满意度指标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C1A98">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村警满意度</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F597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B394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4BC1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E67D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2F7DA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918FD">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B1702">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04642">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0378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民兵满意度</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B021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F0EC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C8B0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2EBAD">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78F05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B1127">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3908F">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3E664">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04B7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老人满意度</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C111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C9078">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3B86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2B57A">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35A65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28F14">
            <w:pPr>
              <w:jc w:val="center"/>
              <w:rPr>
                <w:rFonts w:hint="default" w:ascii="Times New Roman" w:hAnsi="Times New Roman" w:eastAsia="宋体" w:cs="Times New Roman"/>
                <w:i w:val="0"/>
                <w:iCs w:val="0"/>
                <w:color w:val="auto"/>
                <w:sz w:val="18"/>
                <w:szCs w:val="18"/>
                <w:u w:val="none"/>
              </w:rPr>
            </w:pPr>
          </w:p>
        </w:tc>
        <w:tc>
          <w:tcPr>
            <w:tcW w:w="6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9C6EA">
            <w:pPr>
              <w:jc w:val="left"/>
              <w:rPr>
                <w:rFonts w:hint="default" w:ascii="Times New Roman" w:hAnsi="Times New Roman" w:eastAsia="宋体" w:cs="Times New Roman"/>
                <w:i w:val="0"/>
                <w:iCs w:val="0"/>
                <w:color w:val="auto"/>
                <w:sz w:val="18"/>
                <w:szCs w:val="18"/>
                <w:u w:val="none"/>
              </w:rPr>
            </w:pPr>
          </w:p>
        </w:tc>
        <w:tc>
          <w:tcPr>
            <w:tcW w:w="7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74AB1">
            <w:pPr>
              <w:jc w:val="left"/>
              <w:rPr>
                <w:rFonts w:hint="default" w:ascii="Times New Roman" w:hAnsi="Times New Roman" w:eastAsia="宋体" w:cs="Times New Roman"/>
                <w:i w:val="0"/>
                <w:iCs w:val="0"/>
                <w:color w:val="auto"/>
                <w:sz w:val="18"/>
                <w:szCs w:val="18"/>
                <w:u w:val="none"/>
              </w:rPr>
            </w:pP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EE522">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群众满意度</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B6CB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9E7FB">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95</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13E3D">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4B404">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r w14:paraId="16B3F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F65D0">
            <w:pPr>
              <w:jc w:val="center"/>
              <w:rPr>
                <w:rFonts w:hint="default" w:ascii="Times New Roman" w:hAnsi="Times New Roman" w:eastAsia="宋体" w:cs="Times New Roman"/>
                <w:i w:val="0"/>
                <w:iCs w:val="0"/>
                <w:color w:val="auto"/>
                <w:sz w:val="18"/>
                <w:szCs w:val="18"/>
                <w:u w:val="none"/>
              </w:rPr>
            </w:pPr>
          </w:p>
        </w:tc>
        <w:tc>
          <w:tcPr>
            <w:tcW w:w="6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A97C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成本指标</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957A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经济成本指标</w:t>
            </w:r>
          </w:p>
        </w:tc>
        <w:tc>
          <w:tcPr>
            <w:tcW w:w="10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CD325">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严格进行绩效监控，厉行节约</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07B0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w:t>
            </w:r>
          </w:p>
        </w:tc>
        <w:tc>
          <w:tcPr>
            <w:tcW w:w="6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0E34A">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lang w:val="en-US"/>
              </w:rPr>
            </w:pPr>
            <w:r>
              <w:rPr>
                <w:rFonts w:hint="default" w:ascii="Times New Roman" w:hAnsi="Times New Roman" w:eastAsia="宋体" w:cs="Times New Roman"/>
                <w:i w:val="0"/>
                <w:iCs w:val="0"/>
                <w:color w:val="auto"/>
                <w:kern w:val="0"/>
                <w:sz w:val="18"/>
                <w:szCs w:val="18"/>
                <w:u w:val="none"/>
                <w:lang w:val="en-US" w:eastAsia="zh-CN" w:bidi="ar"/>
              </w:rPr>
              <w:t>940.7</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8725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万元</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33168">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w:t>
            </w:r>
          </w:p>
        </w:tc>
      </w:tr>
    </w:tbl>
    <w:p w14:paraId="5E11E595">
      <w:pPr>
        <w:rPr>
          <w:rFonts w:hint="eastAsia" w:ascii="Times New Roman" w:hAnsi="Times New Roman" w:eastAsia="黑体" w:cs="黑体"/>
          <w:color w:val="auto"/>
          <w:sz w:val="32"/>
          <w:szCs w:val="32"/>
          <w:highlight w:val="none"/>
          <w:lang w:val="en-US" w:eastAsia="zh-CN"/>
        </w:rPr>
      </w:pPr>
      <w:r>
        <w:rPr>
          <w:rFonts w:hint="default" w:ascii="Times New Roman" w:hAnsi="Times New Roman" w:eastAsia="黑体" w:cs="Times New Roman"/>
          <w:color w:val="auto"/>
          <w:kern w:val="2"/>
          <w:sz w:val="32"/>
          <w:szCs w:val="24"/>
          <w:highlight w:val="none"/>
          <w:lang w:val="en-US" w:eastAsia="zh-CN" w:bidi="ar-SA"/>
        </w:rPr>
        <w:br w:type="page"/>
      </w: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7BBFB970">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57BDEB1">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专项预算项目绩效自评报告</w:t>
      </w:r>
    </w:p>
    <w:p w14:paraId="6F693B96">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（乡镇人代会会议费）</w:t>
      </w:r>
    </w:p>
    <w:p w14:paraId="48276FF1">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12D5BBBB">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5BBC9D5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default" w:ascii="Times New Roman" w:hAnsi="Times New Roman" w:eastAsia="仿宋_GB2312" w:cs="Times New Roman"/>
          <w:b w:val="0"/>
          <w:bCs/>
          <w:color w:val="auto"/>
          <w:sz w:val="32"/>
          <w:szCs w:val="32"/>
          <w:highlight w:val="none"/>
          <w:u w:val="none"/>
          <w:lang w:val="zh-CN"/>
        </w:rPr>
        <w:t>本项目为</w:t>
      </w:r>
      <w:r>
        <w:rPr>
          <w:rFonts w:hint="eastAsia" w:ascii="Times New Roman" w:hAnsi="Times New Roman" w:eastAsia="仿宋_GB2312" w:cs="Times New Roman"/>
          <w:b w:val="0"/>
          <w:bCs/>
          <w:color w:val="auto"/>
          <w:sz w:val="32"/>
          <w:szCs w:val="32"/>
          <w:highlight w:val="none"/>
          <w:u w:val="none"/>
          <w:lang w:val="zh-CN"/>
        </w:rPr>
        <w:t>乡镇开展人代会会议，保障人大代表</w:t>
      </w:r>
      <w:r>
        <w:rPr>
          <w:rFonts w:hint="default" w:ascii="Times New Roman" w:hAnsi="Times New Roman" w:eastAsia="仿宋_GB2312" w:cs="Times New Roman"/>
          <w:b w:val="0"/>
          <w:bCs/>
          <w:color w:val="auto"/>
          <w:sz w:val="32"/>
          <w:szCs w:val="32"/>
          <w:highlight w:val="none"/>
          <w:u w:val="none"/>
          <w:lang w:val="zh-CN"/>
        </w:rPr>
        <w:t>依法履行职能</w:t>
      </w:r>
      <w:r>
        <w:rPr>
          <w:rFonts w:hint="eastAsia" w:ascii="Times New Roman" w:hAnsi="Times New Roman" w:eastAsia="仿宋_GB2312" w:cs="Times New Roman"/>
          <w:b w:val="0"/>
          <w:bCs/>
          <w:color w:val="auto"/>
          <w:sz w:val="32"/>
          <w:szCs w:val="32"/>
          <w:highlight w:val="none"/>
          <w:u w:val="none"/>
          <w:lang w:val="zh-CN"/>
        </w:rPr>
        <w:t>的经费，</w:t>
      </w:r>
      <w:r>
        <w:rPr>
          <w:rFonts w:hint="default" w:ascii="Times New Roman" w:hAnsi="Times New Roman" w:eastAsia="仿宋_GB2312" w:cs="Times New Roman"/>
          <w:b w:val="0"/>
          <w:bCs/>
          <w:color w:val="auto"/>
          <w:sz w:val="32"/>
          <w:szCs w:val="32"/>
          <w:highlight w:val="none"/>
          <w:u w:val="none"/>
          <w:lang w:val="zh-CN"/>
        </w:rPr>
        <w:t>根据相关法律法规及上级文件精神而设立。经费主要用于支持开展</w:t>
      </w:r>
      <w:r>
        <w:rPr>
          <w:rFonts w:hint="eastAsia" w:ascii="Times New Roman" w:hAnsi="Times New Roman" w:eastAsia="仿宋_GB2312" w:cs="Times New Roman"/>
          <w:b w:val="0"/>
          <w:bCs/>
          <w:color w:val="auto"/>
          <w:sz w:val="32"/>
          <w:szCs w:val="32"/>
          <w:highlight w:val="none"/>
          <w:u w:val="none"/>
          <w:lang w:val="zh-CN"/>
        </w:rPr>
        <w:t>乡镇人代会会议</w:t>
      </w:r>
      <w:r>
        <w:rPr>
          <w:rFonts w:hint="default" w:ascii="Times New Roman" w:hAnsi="Times New Roman" w:eastAsia="仿宋_GB2312" w:cs="Times New Roman"/>
          <w:b w:val="0"/>
          <w:bCs/>
          <w:color w:val="auto"/>
          <w:sz w:val="32"/>
          <w:szCs w:val="32"/>
          <w:highlight w:val="none"/>
          <w:u w:val="none"/>
          <w:lang w:val="zh-CN"/>
        </w:rPr>
        <w:t>及相关履职活动</w:t>
      </w:r>
      <w:r>
        <w:rPr>
          <w:rFonts w:hint="eastAsia" w:ascii="Times New Roman" w:hAnsi="Times New Roman" w:eastAsia="仿宋_GB2312" w:cs="仿宋_GB2312"/>
          <w:b w:val="0"/>
          <w:bCs w:val="0"/>
          <w:kern w:val="0"/>
          <w:position w:val="0"/>
          <w:sz w:val="32"/>
          <w:szCs w:val="32"/>
          <w:highlight w:val="none"/>
          <w:lang w:val="en-US" w:eastAsia="zh-CN" w:bidi="ar-SA"/>
        </w:rPr>
        <w:t>项目</w:t>
      </w:r>
      <w:r>
        <w:rPr>
          <w:rFonts w:hint="eastAsia" w:ascii="Times New Roman" w:hAnsi="Times New Roman" w:eastAsia="仿宋_GB2312" w:cs="仿宋_GB2312"/>
          <w:color w:val="auto"/>
          <w:kern w:val="0"/>
          <w:sz w:val="32"/>
          <w:szCs w:val="32"/>
          <w:highlight w:val="none"/>
          <w:u w:val="none"/>
          <w:shd w:val="clear" w:color="auto" w:fill="FFFFFF"/>
          <w:lang w:val="zh-CN"/>
        </w:rPr>
        <w:t>。</w:t>
      </w:r>
    </w:p>
    <w:p w14:paraId="020D74A8">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Times New Roman"/>
          <w:b w:val="0"/>
          <w:bCs/>
          <w:color w:val="auto"/>
          <w:sz w:val="32"/>
          <w:szCs w:val="32"/>
          <w:highlight w:val="none"/>
          <w:u w:val="none"/>
          <w:lang w:val="en-US" w:eastAsia="zh-CN"/>
        </w:rPr>
        <w:t>保障我乡完成</w:t>
      </w:r>
      <w:r>
        <w:rPr>
          <w:rFonts w:hint="eastAsia" w:ascii="Times New Roman" w:hAnsi="Times New Roman" w:eastAsia="仿宋_GB2312" w:cs="Times New Roman"/>
          <w:b w:val="0"/>
          <w:bCs/>
          <w:color w:val="auto"/>
          <w:sz w:val="32"/>
          <w:szCs w:val="32"/>
          <w:highlight w:val="none"/>
          <w:u w:val="none"/>
          <w:lang w:val="zh-CN"/>
        </w:rPr>
        <w:t>人代会会议的召开，保障人大代表</w:t>
      </w:r>
      <w:r>
        <w:rPr>
          <w:rFonts w:hint="default" w:ascii="Times New Roman" w:hAnsi="Times New Roman" w:eastAsia="仿宋_GB2312" w:cs="Times New Roman"/>
          <w:b w:val="0"/>
          <w:bCs/>
          <w:color w:val="auto"/>
          <w:sz w:val="32"/>
          <w:szCs w:val="32"/>
          <w:highlight w:val="none"/>
          <w:u w:val="none"/>
          <w:lang w:val="zh-CN"/>
        </w:rPr>
        <w:t>依法履行职能</w:t>
      </w:r>
      <w:r>
        <w:rPr>
          <w:rFonts w:hint="eastAsia" w:ascii="Times New Roman" w:hAnsi="Times New Roman" w:eastAsia="仿宋_GB2312" w:cs="Times New Roman"/>
          <w:b w:val="0"/>
          <w:bCs/>
          <w:color w:val="auto"/>
          <w:sz w:val="32"/>
          <w:szCs w:val="32"/>
          <w:highlight w:val="none"/>
          <w:u w:val="none"/>
          <w:lang w:val="zh-CN"/>
        </w:rPr>
        <w:t>，支持方向为我乡人代会会议期间的场地布置、文件材料印制、必要的办公用品购置等保障性支出</w:t>
      </w:r>
      <w:r>
        <w:rPr>
          <w:rFonts w:hint="eastAsia" w:ascii="Times New Roman" w:hAnsi="Times New Roman" w:eastAsia="仿宋_GB2312" w:cs="仿宋_GB2312"/>
          <w:b w:val="0"/>
          <w:bCs w:val="0"/>
          <w:kern w:val="0"/>
          <w:position w:val="0"/>
          <w:sz w:val="32"/>
          <w:szCs w:val="32"/>
          <w:highlight w:val="none"/>
          <w:lang w:val="zh-CN" w:eastAsia="zh-CN" w:bidi="ar-SA"/>
        </w:rPr>
        <w:t>。</w:t>
      </w:r>
    </w:p>
    <w:p w14:paraId="0BF2305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eastAsia="仿宋_GB2312" w:cs="仿宋_GB2312"/>
          <w:b w:val="0"/>
          <w:bCs w:val="0"/>
          <w:kern w:val="0"/>
          <w:position w:val="0"/>
          <w:sz w:val="32"/>
          <w:szCs w:val="32"/>
          <w:highlight w:val="none"/>
          <w:lang w:val="zh-CN" w:eastAsia="zh-CN" w:bidi="ar-SA"/>
        </w:rPr>
        <w:t>2025</w:t>
      </w:r>
      <w:r>
        <w:rPr>
          <w:rFonts w:hint="eastAsia" w:ascii="Times New Roman" w:hAnsi="Times New Roman" w:eastAsia="仿宋_GB2312" w:cs="仿宋_GB2312"/>
          <w:b w:val="0"/>
          <w:bCs w:val="0"/>
          <w:kern w:val="0"/>
          <w:position w:val="0"/>
          <w:sz w:val="32"/>
          <w:szCs w:val="32"/>
          <w:highlight w:val="none"/>
          <w:lang w:val="zh-CN" w:eastAsia="zh-CN" w:bidi="ar-SA"/>
        </w:rPr>
        <w:t>年该项目预算总额为</w:t>
      </w:r>
      <w:r>
        <w:rPr>
          <w:rFonts w:hint="eastAsia" w:eastAsia="仿宋_GB2312" w:cs="仿宋_GB2312"/>
          <w:b w:val="0"/>
          <w:bCs w:val="0"/>
          <w:kern w:val="0"/>
          <w:position w:val="0"/>
          <w:sz w:val="32"/>
          <w:szCs w:val="32"/>
          <w:highlight w:val="none"/>
          <w:lang w:val="en-US" w:eastAsia="zh-CN" w:bidi="ar-SA"/>
        </w:rPr>
        <w:t>1.33</w:t>
      </w:r>
      <w:r>
        <w:rPr>
          <w:rFonts w:hint="eastAsia" w:ascii="Times New Roman" w:hAnsi="Times New Roman" w:eastAsia="仿宋_GB2312" w:cs="仿宋_GB2312"/>
          <w:b w:val="0"/>
          <w:bCs w:val="0"/>
          <w:kern w:val="0"/>
          <w:position w:val="0"/>
          <w:sz w:val="32"/>
          <w:szCs w:val="32"/>
          <w:highlight w:val="none"/>
          <w:lang w:val="zh-CN" w:eastAsia="zh-CN" w:bidi="ar-SA"/>
        </w:rPr>
        <w:t>万元，其中县级财政资金</w:t>
      </w:r>
      <w:r>
        <w:rPr>
          <w:rFonts w:hint="eastAsia" w:eastAsia="仿宋_GB2312" w:cs="仿宋_GB2312"/>
          <w:b w:val="0"/>
          <w:bCs w:val="0"/>
          <w:kern w:val="0"/>
          <w:position w:val="0"/>
          <w:sz w:val="32"/>
          <w:szCs w:val="32"/>
          <w:highlight w:val="none"/>
          <w:lang w:val="en-US" w:eastAsia="zh-CN" w:bidi="ar-SA"/>
        </w:rPr>
        <w:t>1.33</w:t>
      </w:r>
      <w:r>
        <w:rPr>
          <w:rFonts w:hint="eastAsia" w:ascii="Times New Roman" w:hAnsi="Times New Roman" w:eastAsia="仿宋_GB2312" w:cs="仿宋_GB2312"/>
          <w:b w:val="0"/>
          <w:bCs w:val="0"/>
          <w:kern w:val="0"/>
          <w:position w:val="0"/>
          <w:sz w:val="32"/>
          <w:szCs w:val="32"/>
          <w:highlight w:val="none"/>
          <w:lang w:val="zh-CN" w:eastAsia="zh-CN" w:bidi="ar-SA"/>
        </w:rPr>
        <w:t>万元。分解下达预算资金</w:t>
      </w:r>
      <w:r>
        <w:rPr>
          <w:rFonts w:hint="eastAsia" w:eastAsia="仿宋_GB2312" w:cs="仿宋_GB2312"/>
          <w:b w:val="0"/>
          <w:bCs w:val="0"/>
          <w:kern w:val="0"/>
          <w:position w:val="0"/>
          <w:sz w:val="32"/>
          <w:szCs w:val="32"/>
          <w:highlight w:val="none"/>
          <w:lang w:val="en-US" w:eastAsia="zh-CN" w:bidi="ar-SA"/>
        </w:rPr>
        <w:t>1.33</w:t>
      </w:r>
      <w:r>
        <w:rPr>
          <w:rFonts w:hint="eastAsia" w:ascii="Times New Roman" w:hAnsi="Times New Roman" w:eastAsia="仿宋_GB2312" w:cs="仿宋_GB2312"/>
          <w:b w:val="0"/>
          <w:bCs w:val="0"/>
          <w:kern w:val="0"/>
          <w:position w:val="0"/>
          <w:sz w:val="32"/>
          <w:szCs w:val="32"/>
          <w:highlight w:val="none"/>
          <w:lang w:val="zh-CN" w:eastAsia="zh-CN" w:bidi="ar-SA"/>
        </w:rPr>
        <w:t>万元。用于支持其年度基本工作。</w:t>
      </w:r>
    </w:p>
    <w:p w14:paraId="48B91E27">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使人大工作得到</w:t>
      </w:r>
      <w:r>
        <w:rPr>
          <w:rFonts w:hint="eastAsia" w:eastAsia="仿宋_GB2312" w:cs="仿宋_GB2312"/>
          <w:b w:val="0"/>
          <w:bCs w:val="0"/>
          <w:kern w:val="0"/>
          <w:position w:val="0"/>
          <w:sz w:val="32"/>
          <w:szCs w:val="32"/>
          <w:highlight w:val="none"/>
          <w:lang w:val="zh-CN" w:eastAsia="zh-CN" w:bidi="ar-SA"/>
        </w:rPr>
        <w:t>了</w:t>
      </w:r>
      <w:r>
        <w:rPr>
          <w:rFonts w:hint="eastAsia" w:ascii="Times New Roman" w:hAnsi="Times New Roman" w:eastAsia="仿宋_GB2312" w:cs="仿宋_GB2312"/>
          <w:b w:val="0"/>
          <w:bCs w:val="0"/>
          <w:kern w:val="0"/>
          <w:position w:val="0"/>
          <w:sz w:val="32"/>
          <w:szCs w:val="32"/>
          <w:highlight w:val="none"/>
          <w:lang w:val="zh-CN" w:eastAsia="zh-CN" w:bidi="ar-SA"/>
        </w:rPr>
        <w:t>保障</w:t>
      </w:r>
      <w:r>
        <w:rPr>
          <w:rFonts w:hint="eastAsia" w:eastAsia="仿宋_GB2312" w:cs="仿宋_GB2312"/>
          <w:b w:val="0"/>
          <w:bCs w:val="0"/>
          <w:kern w:val="0"/>
          <w:position w:val="0"/>
          <w:sz w:val="32"/>
          <w:szCs w:val="32"/>
          <w:highlight w:val="none"/>
          <w:lang w:val="zh-CN" w:eastAsia="zh-CN" w:bidi="ar-SA"/>
        </w:rPr>
        <w:t>，确保我乡人代会按时召开并圆满完成，保障人大代表参会率和满意度等指标进行自评，确保我乡人大代表会议工作高质高效。</w:t>
      </w:r>
    </w:p>
    <w:p w14:paraId="4A5B752C">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78BD064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w:t>
      </w:r>
      <w:r>
        <w:rPr>
          <w:rFonts w:hint="eastAsia" w:eastAsia="仿宋_GB2312" w:cs="仿宋_GB2312"/>
          <w:b w:val="0"/>
          <w:bCs w:val="0"/>
          <w:kern w:val="0"/>
          <w:position w:val="0"/>
          <w:sz w:val="32"/>
          <w:szCs w:val="32"/>
          <w:highlight w:val="none"/>
          <w:lang w:val="zh-CN" w:eastAsia="zh-CN" w:bidi="ar-SA"/>
        </w:rPr>
        <w:t>检验资金使用是否达到要求，是否按时合规进行支付，人代会是否符合预期目标，是否有问题或需要改进之处等，来提升资金使用效率。</w:t>
      </w:r>
    </w:p>
    <w:p w14:paraId="2F52107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预设问题包括资金使用合规性、</w:t>
      </w:r>
      <w:r>
        <w:rPr>
          <w:rFonts w:hint="eastAsia" w:eastAsia="仿宋_GB2312" w:cs="仿宋_GB2312"/>
          <w:b w:val="0"/>
          <w:bCs w:val="0"/>
          <w:kern w:val="0"/>
          <w:position w:val="0"/>
          <w:sz w:val="32"/>
          <w:szCs w:val="32"/>
          <w:highlight w:val="none"/>
          <w:lang w:val="zh-CN" w:eastAsia="zh-CN" w:bidi="ar-SA"/>
        </w:rPr>
        <w:t>预期</w:t>
      </w:r>
      <w:r>
        <w:rPr>
          <w:rFonts w:hint="eastAsia" w:ascii="Times New Roman" w:hAnsi="Times New Roman" w:eastAsia="仿宋_GB2312" w:cs="仿宋_GB2312"/>
          <w:b w:val="0"/>
          <w:bCs w:val="0"/>
          <w:kern w:val="0"/>
          <w:position w:val="0"/>
          <w:sz w:val="32"/>
          <w:szCs w:val="32"/>
          <w:highlight w:val="none"/>
          <w:lang w:val="zh-CN" w:eastAsia="zh-CN" w:bidi="ar-SA"/>
        </w:rPr>
        <w:t>目标完成度、</w:t>
      </w:r>
      <w:r>
        <w:rPr>
          <w:rFonts w:hint="eastAsia" w:eastAsia="仿宋_GB2312" w:cs="仿宋_GB2312"/>
          <w:b w:val="0"/>
          <w:bCs w:val="0"/>
          <w:kern w:val="0"/>
          <w:position w:val="0"/>
          <w:sz w:val="32"/>
          <w:szCs w:val="32"/>
          <w:highlight w:val="none"/>
          <w:lang w:val="zh-CN" w:eastAsia="zh-CN" w:bidi="ar-SA"/>
        </w:rPr>
        <w:t>产生的</w:t>
      </w:r>
      <w:r>
        <w:rPr>
          <w:rFonts w:hint="eastAsia" w:ascii="Times New Roman" w:hAnsi="Times New Roman" w:eastAsia="仿宋_GB2312" w:cs="仿宋_GB2312"/>
          <w:b w:val="0"/>
          <w:bCs w:val="0"/>
          <w:kern w:val="0"/>
          <w:position w:val="0"/>
          <w:sz w:val="32"/>
          <w:szCs w:val="32"/>
          <w:highlight w:val="none"/>
          <w:lang w:val="zh-CN" w:eastAsia="zh-CN" w:bidi="ar-SA"/>
        </w:rPr>
        <w:t>社会效益等。评价重点</w:t>
      </w:r>
      <w:r>
        <w:rPr>
          <w:rFonts w:hint="eastAsia" w:eastAsia="仿宋_GB2312" w:cs="仿宋_GB2312"/>
          <w:b w:val="0"/>
          <w:bCs w:val="0"/>
          <w:kern w:val="0"/>
          <w:position w:val="0"/>
          <w:sz w:val="32"/>
          <w:szCs w:val="32"/>
          <w:highlight w:val="none"/>
          <w:lang w:val="zh-CN" w:eastAsia="zh-CN" w:bidi="ar-SA"/>
        </w:rPr>
        <w:t>为资金是否按期合规支出，预期</w:t>
      </w:r>
      <w:r>
        <w:rPr>
          <w:rFonts w:hint="eastAsia" w:ascii="Times New Roman" w:hAnsi="Times New Roman" w:eastAsia="仿宋_GB2312" w:cs="仿宋_GB2312"/>
          <w:b w:val="0"/>
          <w:bCs w:val="0"/>
          <w:kern w:val="0"/>
          <w:position w:val="0"/>
          <w:sz w:val="32"/>
          <w:szCs w:val="32"/>
          <w:highlight w:val="none"/>
          <w:lang w:val="zh-CN" w:eastAsia="zh-CN" w:bidi="ar-SA"/>
        </w:rPr>
        <w:t>目标实现情况及群众满意度</w:t>
      </w:r>
      <w:r>
        <w:rPr>
          <w:rFonts w:hint="eastAsia" w:eastAsia="仿宋_GB2312" w:cs="仿宋_GB2312"/>
          <w:b w:val="0"/>
          <w:bCs w:val="0"/>
          <w:kern w:val="0"/>
          <w:position w:val="0"/>
          <w:sz w:val="32"/>
          <w:szCs w:val="32"/>
          <w:highlight w:val="none"/>
          <w:lang w:val="zh-CN" w:eastAsia="zh-CN" w:bidi="ar-SA"/>
        </w:rPr>
        <w:t>。</w:t>
      </w:r>
    </w:p>
    <w:p w14:paraId="4D27F4C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仿宋_GB2312"/>
          <w:b w:val="0"/>
          <w:color w:val="auto"/>
          <w:kern w:val="0"/>
          <w:sz w:val="32"/>
          <w:szCs w:val="32"/>
          <w:highlight w:val="none"/>
          <w:u w:val="none"/>
          <w:lang w:val="zh-CN"/>
        </w:rPr>
      </w:pPr>
      <w:r>
        <w:rPr>
          <w:rFonts w:hint="eastAsia" w:ascii="Times New Roman" w:hAnsi="Times New Roman" w:eastAsia="楷体_GB2312"/>
          <w:b/>
          <w:color w:val="auto"/>
          <w:sz w:val="32"/>
          <w:szCs w:val="32"/>
          <w:highlight w:val="none"/>
          <w:u w:val="none"/>
          <w:lang w:val="zh-CN"/>
        </w:rPr>
        <w:t>（三）评价选点。</w:t>
      </w:r>
      <w:r>
        <w:rPr>
          <w:rFonts w:hint="eastAsia" w:eastAsia="仿宋_GB2312" w:cs="仿宋_GB2312"/>
          <w:b w:val="0"/>
          <w:color w:val="auto"/>
          <w:kern w:val="0"/>
          <w:sz w:val="32"/>
          <w:szCs w:val="32"/>
          <w:highlight w:val="none"/>
          <w:u w:val="none"/>
          <w:lang w:val="zh-CN"/>
        </w:rPr>
        <w:t>抽样点位为高笋乡全乡镇范围。</w:t>
      </w:r>
    </w:p>
    <w:p w14:paraId="0F06B8E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采用单位自评法结合实地勘察法进行分析，以实施效果和群众满意度为指标进行考量，综合打分。</w:t>
      </w:r>
    </w:p>
    <w:p w14:paraId="256E9F7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评价组成员包括乡政府财政、项目管理等部门人员，负责收集资料、现场考证、分析评价，职责分工明确，确保评价工作有序开展，评价结果客观公正。</w:t>
      </w:r>
    </w:p>
    <w:p w14:paraId="7D3ED313">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33FC7F5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496CA54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51F81D4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 项目决策。项目立项符合相关政策和实际需求，决策程序规范，规划论证充分，资金投向合理，聚焦重大任务、重点领域和重点项目，保障了基层重点领域工作开展。</w:t>
      </w:r>
    </w:p>
    <w:p w14:paraId="0DE4131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 项目管理。项目制度办法体系健全、要素完备，严格按规定程序进行分配管理，加强绩效监管，确保资金使用合规、安全、有力有效。</w:t>
      </w:r>
    </w:p>
    <w:p w14:paraId="7B69991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 项目实施。预算项目执行率较高，资金使用符合项目规定用途，</w:t>
      </w:r>
      <w:r>
        <w:rPr>
          <w:rFonts w:hint="eastAsia" w:eastAsia="仿宋_GB2312" w:cs="仿宋_GB2312"/>
          <w:b w:val="0"/>
          <w:bCs w:val="0"/>
          <w:kern w:val="0"/>
          <w:position w:val="0"/>
          <w:sz w:val="32"/>
          <w:szCs w:val="32"/>
          <w:highlight w:val="none"/>
          <w:lang w:val="en-US" w:eastAsia="zh-CN" w:bidi="ar-SA"/>
        </w:rPr>
        <w:t>项目</w:t>
      </w:r>
      <w:r>
        <w:rPr>
          <w:rFonts w:hint="eastAsia" w:ascii="Times New Roman" w:hAnsi="Times New Roman" w:eastAsia="仿宋_GB2312" w:cs="仿宋_GB2312"/>
          <w:b w:val="0"/>
          <w:bCs w:val="0"/>
          <w:kern w:val="0"/>
          <w:position w:val="0"/>
          <w:sz w:val="32"/>
          <w:szCs w:val="32"/>
          <w:highlight w:val="none"/>
          <w:lang w:val="en-US" w:eastAsia="zh-CN" w:bidi="ar-SA"/>
        </w:rPr>
        <w:t>按计划推进。</w:t>
      </w:r>
    </w:p>
    <w:p w14:paraId="1E06FDE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 项目结果。目标按时完成，完成时效符合要求，实施结果与绩效目标相匹配，取得了较好的社会效益。</w:t>
      </w:r>
    </w:p>
    <w:p w14:paraId="73D85D2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（二）专用指标绩效分析。</w:t>
      </w:r>
    </w:p>
    <w:p w14:paraId="5D281CD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围绕用途合规性、程序合规性、标准合规性进行绩效分析：</w:t>
      </w:r>
    </w:p>
    <w:p w14:paraId="6E9A44A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en-US" w:eastAsia="zh-CN" w:bidi="ar-SA"/>
        </w:rPr>
        <w:t>用途合规性：经费全部用于会议相关的场地、材料</w:t>
      </w:r>
      <w:r>
        <w:rPr>
          <w:rFonts w:hint="eastAsia" w:eastAsia="仿宋_GB2312" w:cs="仿宋_GB2312"/>
          <w:b w:val="0"/>
          <w:bCs w:val="0"/>
          <w:kern w:val="0"/>
          <w:position w:val="0"/>
          <w:sz w:val="32"/>
          <w:szCs w:val="32"/>
          <w:highlight w:val="none"/>
          <w:lang w:val="en-US" w:eastAsia="zh-CN" w:bidi="ar-SA"/>
        </w:rPr>
        <w:t>等</w:t>
      </w:r>
      <w:r>
        <w:rPr>
          <w:rFonts w:hint="eastAsia" w:ascii="Times New Roman" w:hAnsi="Times New Roman" w:eastAsia="仿宋_GB2312" w:cs="仿宋_GB2312"/>
          <w:b w:val="0"/>
          <w:bCs w:val="0"/>
          <w:kern w:val="0"/>
          <w:position w:val="0"/>
          <w:sz w:val="32"/>
          <w:szCs w:val="32"/>
          <w:highlight w:val="none"/>
          <w:lang w:val="en-US" w:eastAsia="zh-CN" w:bidi="ar-SA"/>
        </w:rPr>
        <w:t>必要支出，未用于与会议无关的活动，符合专项资金规定用途。</w:t>
      </w:r>
    </w:p>
    <w:p w14:paraId="247B789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en-US" w:eastAsia="zh-CN" w:bidi="ar-SA"/>
        </w:rPr>
        <w:t>程序合规性</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经费申请、审批、报销等环节遵循财务管理制度和审批流程，手续完备。</w:t>
      </w:r>
    </w:p>
    <w:p w14:paraId="2293BD8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3.</w:t>
      </w:r>
      <w:r>
        <w:rPr>
          <w:rFonts w:hint="eastAsia" w:ascii="Times New Roman" w:hAnsi="Times New Roman" w:eastAsia="仿宋_GB2312" w:cs="仿宋_GB2312"/>
          <w:b w:val="0"/>
          <w:bCs w:val="0"/>
          <w:kern w:val="0"/>
          <w:position w:val="0"/>
          <w:sz w:val="32"/>
          <w:szCs w:val="32"/>
          <w:highlight w:val="none"/>
          <w:lang w:val="en-US" w:eastAsia="zh-CN" w:bidi="ar-SA"/>
        </w:rPr>
        <w:t>标准合规性</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各项支出均未超过本级或上级规定的相应标准。</w:t>
      </w:r>
    </w:p>
    <w:p w14:paraId="37975F7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（三）个性指标绩效分析。</w:t>
      </w:r>
    </w:p>
    <w:p w14:paraId="6A8EEEA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en-US" w:eastAsia="zh-CN" w:bidi="ar-SA"/>
        </w:rPr>
        <w:t>会议材料质量与发放及时性</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会议文件印制清晰、装整齐全，内容准确无误，均能在会前及时送达代表手中。</w:t>
      </w:r>
    </w:p>
    <w:p w14:paraId="7F9A918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en-US" w:eastAsia="zh-CN" w:bidi="ar-SA"/>
        </w:rPr>
        <w:t>代表履职服务保障满意度</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通过问卷调查，代表对会议期间的会场服务、资料提供等方面的综合满意度达</w:t>
      </w:r>
      <w:r>
        <w:rPr>
          <w:rFonts w:hint="eastAsia" w:eastAsia="仿宋_GB2312" w:cs="仿宋_GB2312"/>
          <w:b w:val="0"/>
          <w:bCs w:val="0"/>
          <w:kern w:val="0"/>
          <w:position w:val="0"/>
          <w:sz w:val="32"/>
          <w:szCs w:val="32"/>
          <w:highlight w:val="none"/>
          <w:lang w:val="en-US" w:eastAsia="zh-CN" w:bidi="ar-SA"/>
        </w:rPr>
        <w:t>标</w:t>
      </w:r>
      <w:r>
        <w:rPr>
          <w:rFonts w:hint="eastAsia" w:ascii="Times New Roman" w:hAnsi="Times New Roman" w:eastAsia="仿宋_GB2312" w:cs="仿宋_GB2312"/>
          <w:b w:val="0"/>
          <w:bCs w:val="0"/>
          <w:kern w:val="0"/>
          <w:position w:val="0"/>
          <w:sz w:val="32"/>
          <w:szCs w:val="32"/>
          <w:highlight w:val="none"/>
          <w:lang w:val="en-US" w:eastAsia="zh-CN" w:bidi="ar-SA"/>
        </w:rPr>
        <w:t>。</w:t>
      </w:r>
    </w:p>
    <w:p w14:paraId="7D37BA0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3.</w:t>
      </w:r>
      <w:r>
        <w:rPr>
          <w:rFonts w:hint="eastAsia" w:ascii="Times New Roman" w:hAnsi="Times New Roman" w:eastAsia="仿宋_GB2312" w:cs="仿宋_GB2312"/>
          <w:b w:val="0"/>
          <w:bCs w:val="0"/>
          <w:kern w:val="0"/>
          <w:position w:val="0"/>
          <w:sz w:val="32"/>
          <w:szCs w:val="32"/>
          <w:highlight w:val="none"/>
          <w:lang w:val="en-US" w:eastAsia="zh-CN" w:bidi="ar-SA"/>
        </w:rPr>
        <w:t>会议效率与效果</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会议议程紧凑，讨论充分，审议事项均形成有效决议或意见，会议效率较高，达到了预期议事决策效果</w:t>
      </w:r>
      <w:r>
        <w:rPr>
          <w:rFonts w:hint="eastAsia" w:eastAsia="仿宋_GB2312" w:cs="仿宋_GB2312"/>
          <w:b w:val="0"/>
          <w:bCs w:val="0"/>
          <w:kern w:val="0"/>
          <w:position w:val="0"/>
          <w:sz w:val="32"/>
          <w:szCs w:val="32"/>
          <w:highlight w:val="none"/>
          <w:lang w:val="en-US" w:eastAsia="zh-CN" w:bidi="ar-SA"/>
        </w:rPr>
        <w:t>。</w:t>
      </w:r>
    </w:p>
    <w:p w14:paraId="1A176B0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41156B7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该</w:t>
      </w:r>
      <w:r>
        <w:rPr>
          <w:rFonts w:hint="eastAsia" w:ascii="Times New Roman" w:hAnsi="Times New Roman" w:eastAsia="仿宋_GB2312" w:cs="仿宋_GB2312"/>
          <w:b w:val="0"/>
          <w:bCs w:val="0"/>
          <w:kern w:val="0"/>
          <w:position w:val="0"/>
          <w:sz w:val="32"/>
          <w:szCs w:val="32"/>
          <w:highlight w:val="none"/>
          <w:lang w:val="en-US" w:eastAsia="zh-CN" w:bidi="ar-SA"/>
        </w:rPr>
        <w:t>项目资金使用总体规范，达到了保障</w:t>
      </w:r>
      <w:r>
        <w:rPr>
          <w:rFonts w:hint="eastAsia" w:eastAsia="仿宋_GB2312" w:cs="仿宋_GB2312"/>
          <w:b w:val="0"/>
          <w:bCs w:val="0"/>
          <w:kern w:val="0"/>
          <w:position w:val="0"/>
          <w:sz w:val="32"/>
          <w:szCs w:val="32"/>
          <w:highlight w:val="none"/>
          <w:lang w:val="en-US" w:eastAsia="zh-CN" w:bidi="ar-SA"/>
        </w:rPr>
        <w:t>我乡人代会会议圆满召开</w:t>
      </w:r>
      <w:r>
        <w:rPr>
          <w:rFonts w:hint="eastAsia" w:ascii="Times New Roman" w:hAnsi="Times New Roman" w:eastAsia="仿宋_GB2312" w:cs="仿宋_GB2312"/>
          <w:b w:val="0"/>
          <w:bCs w:val="0"/>
          <w:kern w:val="0"/>
          <w:position w:val="0"/>
          <w:sz w:val="32"/>
          <w:szCs w:val="32"/>
          <w:highlight w:val="none"/>
          <w:lang w:val="en-US" w:eastAsia="zh-CN" w:bidi="ar-SA"/>
        </w:rPr>
        <w:t>的预期目的，效果基本符合要求</w:t>
      </w:r>
      <w:r>
        <w:rPr>
          <w:rFonts w:hint="eastAsia" w:eastAsia="仿宋_GB2312" w:cs="仿宋_GB2312"/>
          <w:b w:val="0"/>
          <w:bCs w:val="0"/>
          <w:kern w:val="0"/>
          <w:position w:val="0"/>
          <w:sz w:val="32"/>
          <w:szCs w:val="32"/>
          <w:highlight w:val="none"/>
          <w:lang w:val="en-US" w:eastAsia="zh-CN" w:bidi="ar-SA"/>
        </w:rPr>
        <w:t>。</w:t>
      </w:r>
    </w:p>
    <w:p w14:paraId="2AC93C8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7730E14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会后跟踪问效机制欠缺</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对会议决议事项的落实情况和代表建议办理效果的跟踪反馈在经费保障中体现不足</w:t>
      </w:r>
      <w:r>
        <w:rPr>
          <w:rFonts w:hint="eastAsia" w:eastAsia="仿宋_GB2312" w:cs="仿宋_GB2312"/>
          <w:b w:val="0"/>
          <w:bCs w:val="0"/>
          <w:kern w:val="0"/>
          <w:position w:val="0"/>
          <w:sz w:val="32"/>
          <w:szCs w:val="32"/>
          <w:highlight w:val="none"/>
          <w:lang w:val="en-US" w:eastAsia="zh-CN" w:bidi="ar-SA"/>
        </w:rPr>
        <w:t>。</w:t>
      </w:r>
    </w:p>
    <w:p w14:paraId="0A91B49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1DFA783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健全会后评估与反馈机制</w:t>
      </w:r>
      <w:r>
        <w:rPr>
          <w:rFonts w:hint="eastAsia"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en-US" w:eastAsia="zh-CN" w:bidi="ar-SA"/>
        </w:rPr>
        <w:t>建议在经费中适当考虑或单独安排用于会议效果评估、决议落实跟踪、代表反馈收集等方面的支出，建立闭环管理，提升会议成效。</w:t>
      </w:r>
    </w:p>
    <w:p w14:paraId="0D9878B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9363BF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FC1296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48051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4" w:name="_Toc15396618"/>
    </w:p>
    <w:p w14:paraId="2D7BF96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521C63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8BFE12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60FF27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C52F57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ED3F87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5F869C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E636FA8">
      <w:pPr>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br w:type="page"/>
      </w:r>
    </w:p>
    <w:p w14:paraId="7C180DD6">
      <w:pPr>
        <w:keepNext w:val="0"/>
        <w:keepLines w:val="0"/>
        <w:pageBreakBefore w:val="0"/>
        <w:widowControl w:val="0"/>
        <w:kinsoku/>
        <w:wordWrap/>
        <w:overflowPunct/>
        <w:topLinePunct w:val="0"/>
        <w:autoSpaceDE/>
        <w:autoSpaceDN/>
        <w:bidi w:val="0"/>
        <w:spacing w:line="578" w:lineRule="exact"/>
        <w:ind w:firstLine="640"/>
        <w:jc w:val="center"/>
        <w:textAlignment w:val="auto"/>
        <w:outlineLvl w:val="9"/>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专项预算项目绩效自评报告</w:t>
      </w:r>
    </w:p>
    <w:p w14:paraId="3D5BF50A">
      <w:pPr>
        <w:keepNext w:val="0"/>
        <w:keepLines w:val="0"/>
        <w:pageBreakBefore w:val="0"/>
        <w:widowControl w:val="0"/>
        <w:kinsoku/>
        <w:wordWrap/>
        <w:overflowPunct/>
        <w:topLinePunct w:val="0"/>
        <w:autoSpaceDE/>
        <w:autoSpaceDN/>
        <w:bidi w:val="0"/>
        <w:spacing w:line="578" w:lineRule="exact"/>
        <w:ind w:firstLine="640"/>
        <w:jc w:val="center"/>
        <w:textAlignment w:val="auto"/>
        <w:outlineLvl w:val="9"/>
        <w:rPr>
          <w:rFonts w:hint="default" w:ascii="Times New Roman" w:hAnsi="Times New Roman" w:eastAsia="方正小标宋简体" w:cs="Times New Roman"/>
          <w:b w:val="0"/>
          <w:bCs w:val="0"/>
          <w:kern w:val="0"/>
          <w:position w:val="0"/>
          <w:sz w:val="44"/>
          <w:szCs w:val="44"/>
          <w:highlight w:val="none"/>
          <w:lang w:val="en-US" w:eastAsia="zh-CN" w:bidi="ar-SA"/>
        </w:rPr>
      </w:pPr>
      <w:r>
        <w:rPr>
          <w:rFonts w:hint="default" w:ascii="Times New Roman" w:hAnsi="Times New Roman" w:eastAsia="方正小标宋简体" w:cs="Times New Roman"/>
          <w:b w:val="0"/>
          <w:bCs w:val="0"/>
          <w:kern w:val="0"/>
          <w:position w:val="0"/>
          <w:sz w:val="44"/>
          <w:szCs w:val="44"/>
          <w:highlight w:val="none"/>
          <w:lang w:val="en-US" w:eastAsia="zh-CN" w:bidi="ar-SA"/>
        </w:rPr>
        <w:t>（乡镇普法依法治理经费）</w:t>
      </w:r>
    </w:p>
    <w:p w14:paraId="5449F9B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 xml:space="preserve"> </w:t>
      </w:r>
    </w:p>
    <w:p w14:paraId="66790373">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06B9A65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Times New Roman"/>
          <w:b w:val="0"/>
          <w:bCs/>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default" w:ascii="Times New Roman" w:hAnsi="Times New Roman" w:eastAsia="仿宋_GB2312" w:cs="Times New Roman"/>
          <w:b w:val="0"/>
          <w:bCs/>
          <w:color w:val="auto"/>
          <w:sz w:val="32"/>
          <w:szCs w:val="32"/>
          <w:highlight w:val="none"/>
          <w:u w:val="none"/>
          <w:lang w:val="zh-CN"/>
        </w:rPr>
        <w:t>本项目为</w:t>
      </w:r>
      <w:r>
        <w:rPr>
          <w:rFonts w:hint="eastAsia" w:ascii="Times New Roman" w:hAnsi="Times New Roman" w:eastAsia="仿宋_GB2312" w:cs="Times New Roman"/>
          <w:b w:val="0"/>
          <w:bCs/>
          <w:color w:val="auto"/>
          <w:sz w:val="32"/>
          <w:szCs w:val="32"/>
          <w:highlight w:val="none"/>
          <w:u w:val="none"/>
          <w:lang w:val="zh-CN"/>
        </w:rPr>
        <w:t>乡镇开展普法活动经费，项目主要内容包括：购置普法宣传资料；组织开展各类法治宣传活动（如国家宪法日、专项法律宣传等）；建设维护法治文化阵地（如宣传栏、广场、长廊等）；开展“民主法治示范村”创建活动；组织人民调解员、法律明白人、村（社区）干部法治培训；提供公共法律服务与支持等。</w:t>
      </w:r>
    </w:p>
    <w:p w14:paraId="52FD3663">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Times New Roman"/>
          <w:b w:val="0"/>
          <w:bCs/>
          <w:color w:val="auto"/>
          <w:kern w:val="0"/>
          <w:position w:val="0"/>
          <w:sz w:val="32"/>
          <w:szCs w:val="32"/>
          <w:highlight w:val="none"/>
          <w:u w:val="none"/>
          <w:lang w:val="en-US"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Times New Roman"/>
          <w:b w:val="0"/>
          <w:bCs/>
          <w:color w:val="auto"/>
          <w:sz w:val="32"/>
          <w:szCs w:val="32"/>
          <w:highlight w:val="none"/>
          <w:u w:val="none"/>
          <w:lang w:val="en-US" w:eastAsia="zh-CN"/>
        </w:rPr>
        <w:t>项目实施目的是通过形式多样的法治宣传教育和服务活动，增强全乡群众法治观念，夯实基层社会法治基础，推动形成办事依法、遇事找法、解决问题用法、化解矛盾靠法的法治环境，服务我乡经济社会高质量发展和和谐稳定。资金支持方向聚焦于普法宣传、阵地建设、人员培训、依法治理实践等核心环节。</w:t>
      </w:r>
    </w:p>
    <w:p w14:paraId="740904C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eastAsia="仿宋_GB2312" w:cs="仿宋_GB2312"/>
          <w:b w:val="0"/>
          <w:bCs w:val="0"/>
          <w:kern w:val="0"/>
          <w:position w:val="0"/>
          <w:sz w:val="32"/>
          <w:szCs w:val="32"/>
          <w:highlight w:val="none"/>
          <w:lang w:val="zh-CN" w:eastAsia="zh-CN" w:bidi="ar-SA"/>
        </w:rPr>
        <w:t>2025</w:t>
      </w:r>
      <w:r>
        <w:rPr>
          <w:rFonts w:hint="eastAsia" w:ascii="Times New Roman" w:hAnsi="Times New Roman" w:eastAsia="仿宋_GB2312" w:cs="仿宋_GB2312"/>
          <w:b w:val="0"/>
          <w:bCs w:val="0"/>
          <w:kern w:val="0"/>
          <w:position w:val="0"/>
          <w:sz w:val="32"/>
          <w:szCs w:val="32"/>
          <w:highlight w:val="none"/>
          <w:lang w:val="zh-CN" w:eastAsia="zh-CN" w:bidi="ar-SA"/>
        </w:rPr>
        <w:t>年该项目预算总额为</w:t>
      </w:r>
      <w:r>
        <w:rPr>
          <w:rFonts w:hint="eastAsia" w:eastAsia="仿宋_GB2312" w:cs="仿宋_GB2312"/>
          <w:b w:val="0"/>
          <w:bCs w:val="0"/>
          <w:kern w:val="0"/>
          <w:position w:val="0"/>
          <w:sz w:val="32"/>
          <w:szCs w:val="32"/>
          <w:highlight w:val="none"/>
          <w:lang w:val="en-US" w:eastAsia="zh-CN" w:bidi="ar-SA"/>
        </w:rPr>
        <w:t>0.89</w:t>
      </w:r>
      <w:r>
        <w:rPr>
          <w:rFonts w:hint="eastAsia" w:ascii="Times New Roman" w:hAnsi="Times New Roman" w:eastAsia="仿宋_GB2312" w:cs="仿宋_GB2312"/>
          <w:b w:val="0"/>
          <w:bCs w:val="0"/>
          <w:kern w:val="0"/>
          <w:position w:val="0"/>
          <w:sz w:val="32"/>
          <w:szCs w:val="32"/>
          <w:highlight w:val="none"/>
          <w:lang w:val="zh-CN" w:eastAsia="zh-CN" w:bidi="ar-SA"/>
        </w:rPr>
        <w:t>万元，其中县级财政资金</w:t>
      </w:r>
      <w:r>
        <w:rPr>
          <w:rFonts w:hint="eastAsia" w:eastAsia="仿宋_GB2312" w:cs="仿宋_GB2312"/>
          <w:b w:val="0"/>
          <w:bCs w:val="0"/>
          <w:kern w:val="0"/>
          <w:position w:val="0"/>
          <w:sz w:val="32"/>
          <w:szCs w:val="32"/>
          <w:highlight w:val="none"/>
          <w:lang w:val="en-US" w:eastAsia="zh-CN" w:bidi="ar-SA"/>
        </w:rPr>
        <w:t>0.89</w:t>
      </w:r>
      <w:r>
        <w:rPr>
          <w:rFonts w:hint="eastAsia" w:ascii="Times New Roman" w:hAnsi="Times New Roman" w:eastAsia="仿宋_GB2312" w:cs="仿宋_GB2312"/>
          <w:b w:val="0"/>
          <w:bCs w:val="0"/>
          <w:kern w:val="0"/>
          <w:position w:val="0"/>
          <w:sz w:val="32"/>
          <w:szCs w:val="32"/>
          <w:highlight w:val="none"/>
          <w:lang w:val="zh-CN" w:eastAsia="zh-CN" w:bidi="ar-SA"/>
        </w:rPr>
        <w:t>万元。分解下达预算资金</w:t>
      </w:r>
      <w:r>
        <w:rPr>
          <w:rFonts w:hint="eastAsia" w:eastAsia="仿宋_GB2312" w:cs="仿宋_GB2312"/>
          <w:b w:val="0"/>
          <w:bCs w:val="0"/>
          <w:kern w:val="0"/>
          <w:position w:val="0"/>
          <w:sz w:val="32"/>
          <w:szCs w:val="32"/>
          <w:highlight w:val="none"/>
          <w:lang w:val="en-US" w:eastAsia="zh-CN" w:bidi="ar-SA"/>
        </w:rPr>
        <w:t>0.89</w:t>
      </w:r>
      <w:r>
        <w:rPr>
          <w:rFonts w:hint="eastAsia" w:ascii="Times New Roman" w:hAnsi="Times New Roman" w:eastAsia="仿宋_GB2312" w:cs="仿宋_GB2312"/>
          <w:b w:val="0"/>
          <w:bCs w:val="0"/>
          <w:kern w:val="0"/>
          <w:position w:val="0"/>
          <w:sz w:val="32"/>
          <w:szCs w:val="32"/>
          <w:highlight w:val="none"/>
          <w:lang w:val="zh-CN" w:eastAsia="zh-CN" w:bidi="ar-SA"/>
        </w:rPr>
        <w:t>万元。用于支持其年度基本工作。</w:t>
      </w:r>
    </w:p>
    <w:p w14:paraId="4DC68613">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项目整体绩效目标：提升本乡群众对法律法规的知晓度、法治精神的认同度、法治实践的参与度，推动基层治理法治化水平提升。</w:t>
      </w:r>
    </w:p>
    <w:p w14:paraId="164F8616">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2823124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对普法依法治理经费项目进行绩效自评，全面检验资金使用效益和工作成效，总结普法依法治理工作的经验与不足，为优化资源配置、改进工作方法、完善管理机制提供决策依据，不断提升普法工作的针对性和实效性。</w:t>
      </w:r>
    </w:p>
    <w:p w14:paraId="2BFF894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评价重点围绕：项目预算编制与实际需求匹配度；资金拨付及时性；支出范围与标准合规性；各项普法活动及治理任务完成数量与质量；法治宣传覆盖面与影响力；法治环境改善程度；群众满意度等。</w:t>
      </w:r>
    </w:p>
    <w:p w14:paraId="6EE11A2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仿宋_GB2312"/>
          <w:b w:val="0"/>
          <w:color w:val="auto"/>
          <w:kern w:val="0"/>
          <w:sz w:val="32"/>
          <w:szCs w:val="32"/>
          <w:highlight w:val="none"/>
          <w:u w:val="none"/>
          <w:lang w:val="zh-CN"/>
        </w:rPr>
      </w:pPr>
      <w:r>
        <w:rPr>
          <w:rFonts w:hint="eastAsia" w:ascii="Times New Roman" w:hAnsi="Times New Roman" w:eastAsia="楷体_GB2312"/>
          <w:b/>
          <w:color w:val="auto"/>
          <w:sz w:val="32"/>
          <w:szCs w:val="32"/>
          <w:highlight w:val="none"/>
          <w:u w:val="none"/>
          <w:lang w:val="zh-CN"/>
        </w:rPr>
        <w:t>（三）评价选点。</w:t>
      </w:r>
      <w:r>
        <w:rPr>
          <w:rFonts w:hint="eastAsia" w:eastAsia="仿宋_GB2312" w:cs="仿宋_GB2312"/>
          <w:b w:val="0"/>
          <w:color w:val="auto"/>
          <w:kern w:val="0"/>
          <w:sz w:val="32"/>
          <w:szCs w:val="32"/>
          <w:highlight w:val="none"/>
          <w:u w:val="none"/>
          <w:lang w:val="zh-CN"/>
        </w:rPr>
        <w:t>抽样点位为高笋乡全乡镇范围。</w:t>
      </w:r>
    </w:p>
    <w:p w14:paraId="4719290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采用单位自评法结合实地勘察法进行分析，以实施效果和群众满意度为指标进行考量，综合打分。</w:t>
      </w:r>
    </w:p>
    <w:p w14:paraId="17BCACE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评价组成员包括乡政府财政、项目管理等部门人员，负责收集资料、现场考证、分析评价，职责分工明确，确保评价工作有序开展，评价结果客观公正。</w:t>
      </w:r>
    </w:p>
    <w:p w14:paraId="249EDD48">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2450B3C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50E08BE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3BDCDC0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1.项目决策：项目设立符合国家宏观政策与地方法治建设规划，立项依据充分，审批程序规范。资金投向紧密围绕普法依法治理核心任务，决策科学。</w:t>
      </w:r>
    </w:p>
    <w:p w14:paraId="66E3BA7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2.项目管理：建立了相应的经费使用管理规定或执行上级规定，资金分配流程清晰。绩效目标设定基本明确。</w:t>
      </w:r>
    </w:p>
    <w:p w14:paraId="2647AF3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3.项目实施：预算执行率为100%，资金拨付及时。支出手续基本完备，符合财务规定。</w:t>
      </w:r>
    </w:p>
    <w:p w14:paraId="4A8601F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4.项目结果：年度计划的主要活动和任务均已完成，产出数量指标基本达成。</w:t>
      </w:r>
    </w:p>
    <w:p w14:paraId="5AB4755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（二）专用指标绩效分析。</w:t>
      </w:r>
    </w:p>
    <w:p w14:paraId="3E82BD9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14:paraId="49DF27F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1.区域均衡性：普法活动覆盖了我乡所有村（社区），但在不同区域的投入强度和活动频次存在一定差异，均衡性有待加强。</w:t>
      </w:r>
    </w:p>
    <w:p w14:paraId="25844FB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2.标准合理性：活动支出标准基本参照相关规定执行。</w:t>
      </w:r>
    </w:p>
    <w:p w14:paraId="43EF8E1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3.群众满意度：群众对普法宣传活动的形式、内容和效果的满意度达到预期目标。</w:t>
      </w:r>
    </w:p>
    <w:p w14:paraId="23A43E4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en-US" w:eastAsia="zh-CN"/>
        </w:rPr>
        <w:t>（三）个性指标绩效分析。</w:t>
      </w:r>
    </w:p>
    <w:p w14:paraId="232C832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法治阵地利用率与效果：安坪村建设的法治文化阵地基本得到有效利用和维护，成为群众休闲学法的重要场所，但内容更新频率和互动性可进一步提升。</w:t>
      </w:r>
    </w:p>
    <w:p w14:paraId="020CC8D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“法律明白人”作用发挥度：经过培训的“法律明白人”在政策宣讲、矛盾调解、法律服务引导中的作用初步显现，但能力水平和参与积极性个体差异较大。</w:t>
      </w:r>
    </w:p>
    <w:p w14:paraId="0D362FD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矛盾纠纷源头化解率：通过普法与依法治理相结合，本年度矛盾纠纷调解成功率高，法治环境持续改善。</w:t>
      </w:r>
    </w:p>
    <w:p w14:paraId="79D193F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0B7C85C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乡镇普法依法治理经费项目决策科学，管理规范，有效保障了我乡各项普法宣传和依法治理活动的开展，基本完成了年度绩效目标，在提升群众法治意识、服务基层治理方面取得了阶段性成效。但在资源均衡配置、工作深度及长效性方面仍需加强。</w:t>
      </w:r>
    </w:p>
    <w:p w14:paraId="5E13ECB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63E03C3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1.普法资源分布不够均衡：对偏远村组的普法资源投入和活动覆盖相对较弱，形式较为传统。</w:t>
      </w:r>
    </w:p>
    <w:p w14:paraId="3D13F08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2.工作成效量化评估不足：对普法宣传的中长期效果、行为改变程度等缺乏有效的跟踪评估机制和量化指标。</w:t>
      </w:r>
    </w:p>
    <w:p w14:paraId="070BA9B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3.创新性与吸引力需增强：普法形式仍以传统发资料、挂横幅、办讲座为主，创新形式不足。</w:t>
      </w:r>
    </w:p>
    <w:p w14:paraId="536CDBF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7EE5130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1.优化资源配置与覆盖：在制定年度计划时，更加注重向普法资源薄弱区域倾斜，探索利用流动普法车</w:t>
      </w:r>
      <w:r>
        <w:rPr>
          <w:rFonts w:hint="eastAsia" w:eastAsia="仿宋_GB2312" w:cs="仿宋_GB2312"/>
          <w:b w:val="0"/>
          <w:bCs w:val="0"/>
          <w:kern w:val="0"/>
          <w:position w:val="0"/>
          <w:sz w:val="32"/>
          <w:szCs w:val="32"/>
          <w:highlight w:val="none"/>
          <w:lang w:val="en-US" w:eastAsia="zh-CN" w:bidi="ar-SA"/>
        </w:rPr>
        <w:t>宣传</w:t>
      </w:r>
      <w:r>
        <w:rPr>
          <w:rFonts w:hint="eastAsia" w:ascii="Times New Roman" w:hAnsi="Times New Roman" w:eastAsia="仿宋_GB2312" w:cs="仿宋_GB2312"/>
          <w:b w:val="0"/>
          <w:bCs w:val="0"/>
          <w:kern w:val="0"/>
          <w:position w:val="0"/>
          <w:sz w:val="32"/>
          <w:szCs w:val="32"/>
          <w:highlight w:val="none"/>
          <w:lang w:val="en-US" w:eastAsia="zh-CN" w:bidi="ar-SA"/>
        </w:rPr>
        <w:t>、线上普法等方式扩大覆盖面和提升均衡性。</w:t>
      </w:r>
    </w:p>
    <w:p w14:paraId="678C5CE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2.建立健全效果评估机制：探索引入第三方评估或建立常态化的普法效果反馈机制，设置更多可量化的效益指标，加强对工作成效的跟踪问效。</w:t>
      </w:r>
    </w:p>
    <w:p w14:paraId="7621824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3.推动普法形式创新： 鼓励采用微视频、法治文艺演出、线上有奖竞答、模拟法庭等更贴近群众生活、更具吸引力的普法形式，提升普法工作的时代感和实效性。</w:t>
      </w:r>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438D58B8">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61"/>
      <w:bookmarkEnd w:id="64"/>
      <w:bookmarkStart w:id="65" w:name="_Toc15396619"/>
    </w:p>
    <w:p w14:paraId="122501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A05B34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5"/>
    </w:p>
    <w:p w14:paraId="6C68B50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0"/>
      <w:r>
        <w:rPr>
          <w:rFonts w:hint="eastAsia" w:ascii="Times New Roman" w:hAnsi="Times New Roman" w:eastAsia="仿宋_GB2312" w:cs="仿宋_GB2312"/>
          <w:color w:val="auto"/>
          <w:sz w:val="32"/>
          <w:szCs w:val="32"/>
          <w:highlight w:val="none"/>
        </w:rPr>
        <w:t>二、收入决算表</w:t>
      </w:r>
      <w:bookmarkEnd w:id="66"/>
    </w:p>
    <w:p w14:paraId="587A69D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1"/>
      <w:r>
        <w:rPr>
          <w:rFonts w:hint="eastAsia" w:ascii="Times New Roman" w:hAnsi="Times New Roman" w:eastAsia="仿宋_GB2312" w:cs="仿宋_GB2312"/>
          <w:color w:val="auto"/>
          <w:sz w:val="32"/>
          <w:szCs w:val="32"/>
          <w:highlight w:val="none"/>
        </w:rPr>
        <w:t>三、支出决算表</w:t>
      </w:r>
      <w:bookmarkEnd w:id="67"/>
    </w:p>
    <w:p w14:paraId="1C457D2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2"/>
      <w:r>
        <w:rPr>
          <w:rFonts w:hint="eastAsia" w:ascii="Times New Roman" w:hAnsi="Times New Roman" w:eastAsia="仿宋_GB2312" w:cs="仿宋_GB2312"/>
          <w:color w:val="auto"/>
          <w:sz w:val="32"/>
          <w:szCs w:val="32"/>
          <w:highlight w:val="none"/>
        </w:rPr>
        <w:t>四、财政拨款收入支出决算总表</w:t>
      </w:r>
      <w:bookmarkEnd w:id="68"/>
    </w:p>
    <w:p w14:paraId="3F6D578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3"/>
      <w:r>
        <w:rPr>
          <w:rFonts w:hint="eastAsia" w:ascii="Times New Roman" w:hAnsi="Times New Roman" w:eastAsia="仿宋_GB2312" w:cs="仿宋_GB2312"/>
          <w:color w:val="auto"/>
          <w:sz w:val="32"/>
          <w:szCs w:val="32"/>
          <w:highlight w:val="none"/>
        </w:rPr>
        <w:t>五、财政拨款支出决算明细表</w:t>
      </w:r>
      <w:bookmarkEnd w:id="69"/>
      <w:bookmarkStart w:id="70" w:name="_Toc15396624"/>
    </w:p>
    <w:p w14:paraId="40AE271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0"/>
    </w:p>
    <w:p w14:paraId="573409A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5"/>
      <w:r>
        <w:rPr>
          <w:rFonts w:hint="eastAsia" w:ascii="Times New Roman" w:hAnsi="Times New Roman" w:eastAsia="仿宋_GB2312" w:cs="仿宋_GB2312"/>
          <w:color w:val="auto"/>
          <w:sz w:val="32"/>
          <w:szCs w:val="32"/>
          <w:highlight w:val="none"/>
        </w:rPr>
        <w:t>七、一般公共预算财政拨款支出决算明细表</w:t>
      </w:r>
      <w:bookmarkEnd w:id="71"/>
    </w:p>
    <w:p w14:paraId="22AD6C7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6"/>
      <w:r>
        <w:rPr>
          <w:rFonts w:hint="eastAsia" w:ascii="Times New Roman" w:hAnsi="Times New Roman" w:eastAsia="仿宋_GB2312" w:cs="仿宋_GB2312"/>
          <w:color w:val="auto"/>
          <w:sz w:val="32"/>
          <w:szCs w:val="32"/>
          <w:highlight w:val="none"/>
        </w:rPr>
        <w:t>八、一般公共预算财政拨款基本支出决算表</w:t>
      </w:r>
      <w:bookmarkEnd w:id="72"/>
    </w:p>
    <w:p w14:paraId="13F6824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7"/>
      <w:r>
        <w:rPr>
          <w:rFonts w:hint="eastAsia" w:ascii="Times New Roman" w:hAnsi="Times New Roman" w:eastAsia="仿宋_GB2312" w:cs="仿宋_GB2312"/>
          <w:color w:val="auto"/>
          <w:sz w:val="32"/>
          <w:szCs w:val="32"/>
          <w:highlight w:val="none"/>
        </w:rPr>
        <w:t>九、一般公共预算财政拨款项目支出决算表</w:t>
      </w:r>
      <w:bookmarkEnd w:id="73"/>
    </w:p>
    <w:p w14:paraId="694001B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8"/>
      <w:r>
        <w:rPr>
          <w:rFonts w:hint="eastAsia" w:ascii="Times New Roman" w:hAnsi="Times New Roman" w:eastAsia="仿宋_GB2312" w:cs="仿宋_GB2312"/>
          <w:color w:val="auto"/>
          <w:sz w:val="32"/>
          <w:szCs w:val="32"/>
          <w:highlight w:val="none"/>
        </w:rPr>
        <w:t>十、</w:t>
      </w:r>
      <w:bookmarkEnd w:id="74"/>
      <w:r>
        <w:rPr>
          <w:rFonts w:hint="eastAsia" w:ascii="Times New Roman" w:hAnsi="Times New Roman" w:eastAsia="仿宋_GB2312" w:cs="仿宋_GB2312"/>
          <w:color w:val="auto"/>
          <w:sz w:val="32"/>
          <w:szCs w:val="32"/>
          <w:highlight w:val="none"/>
        </w:rPr>
        <w:t>政府性基金预算财政拨款收入支出决算表</w:t>
      </w:r>
    </w:p>
    <w:p w14:paraId="33AE901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9"/>
      <w:r>
        <w:rPr>
          <w:rFonts w:hint="eastAsia" w:ascii="Times New Roman" w:hAnsi="Times New Roman" w:eastAsia="仿宋_GB2312" w:cs="仿宋_GB2312"/>
          <w:color w:val="auto"/>
          <w:sz w:val="32"/>
          <w:szCs w:val="32"/>
          <w:highlight w:val="none"/>
        </w:rPr>
        <w:t>十一、</w:t>
      </w:r>
      <w:bookmarkEnd w:id="7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C8501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30"/>
      <w:r>
        <w:rPr>
          <w:rFonts w:hint="eastAsia" w:ascii="Times New Roman" w:hAnsi="Times New Roman" w:eastAsia="仿宋_GB2312" w:cs="仿宋_GB2312"/>
          <w:color w:val="auto"/>
          <w:sz w:val="32"/>
          <w:szCs w:val="32"/>
          <w:highlight w:val="none"/>
        </w:rPr>
        <w:t>十二、</w:t>
      </w:r>
      <w:bookmarkEnd w:id="76"/>
      <w:r>
        <w:rPr>
          <w:rFonts w:hint="eastAsia" w:ascii="Times New Roman" w:hAnsi="Times New Roman" w:eastAsia="仿宋_GB2312" w:cs="仿宋_GB2312"/>
          <w:color w:val="auto"/>
          <w:sz w:val="32"/>
          <w:szCs w:val="32"/>
          <w:highlight w:val="none"/>
          <w:lang w:eastAsia="zh-CN"/>
        </w:rPr>
        <w:t>国有资本经营预算财政拨款支出决算表</w:t>
      </w:r>
    </w:p>
    <w:p w14:paraId="6B6FC92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7" w:name="_Toc15396631"/>
      <w:r>
        <w:rPr>
          <w:rFonts w:hint="eastAsia" w:ascii="Times New Roman" w:hAnsi="Times New Roman" w:eastAsia="仿宋_GB2312" w:cs="仿宋_GB2312"/>
          <w:color w:val="auto"/>
          <w:sz w:val="32"/>
          <w:szCs w:val="32"/>
          <w:highlight w:val="none"/>
        </w:rPr>
        <w:t>十三、</w:t>
      </w:r>
      <w:bookmarkEnd w:id="77"/>
      <w:r>
        <w:rPr>
          <w:rFonts w:hint="eastAsia" w:ascii="Times New Roman" w:hAnsi="Times New Roman" w:eastAsia="仿宋_GB2312" w:cs="仿宋_GB2312"/>
          <w:color w:val="auto"/>
          <w:sz w:val="32"/>
          <w:szCs w:val="32"/>
          <w:highlight w:val="none"/>
          <w:lang w:eastAsia="zh-CN"/>
        </w:rPr>
        <w:t>财政拨款“三公”经费支出决算表</w:t>
      </w:r>
    </w:p>
    <w:p w14:paraId="3F3A0490">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80F3C52"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2ADE5">
    <w:pPr>
      <w:pStyle w:val="11"/>
      <w:jc w:val="center"/>
    </w:pPr>
  </w:p>
  <w:p w14:paraId="2A68B372">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D9153">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61FA0A">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361FA0A">
                    <w:pPr>
                      <w:pStyle w:val="11"/>
                    </w:pPr>
                    <w:r>
                      <w:fldChar w:fldCharType="begin"/>
                    </w:r>
                    <w:r>
                      <w:instrText xml:space="preserve"> PAGE  \* MERGEFORMAT </w:instrText>
                    </w:r>
                    <w:r>
                      <w:fldChar w:fldCharType="separate"/>
                    </w:r>
                    <w:r>
                      <w:t>2</w:t>
                    </w:r>
                    <w:r>
                      <w:fldChar w:fldCharType="end"/>
                    </w:r>
                  </w:p>
                </w:txbxContent>
              </v:textbox>
            </v:shape>
          </w:pict>
        </mc:Fallback>
      </mc:AlternateContent>
    </w:r>
  </w:p>
  <w:p w14:paraId="22379B89">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D24B6">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D9E9B4">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BD9E9B4">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79577">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32F486"/>
    <w:multiLevelType w:val="singleLevel"/>
    <w:tmpl w:val="D332F486"/>
    <w:lvl w:ilvl="0" w:tentative="0">
      <w:start w:val="2"/>
      <w:numFmt w:val="decimal"/>
      <w:lvlText w:val="%1."/>
      <w:lvlJc w:val="left"/>
      <w:pPr>
        <w:tabs>
          <w:tab w:val="left" w:pos="312"/>
        </w:tabs>
      </w:pPr>
    </w:lvl>
  </w:abstractNum>
  <w:abstractNum w:abstractNumId="1">
    <w:nsid w:val="3401C3A6"/>
    <w:multiLevelType w:val="singleLevel"/>
    <w:tmpl w:val="3401C3A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AE34CB"/>
    <w:rsid w:val="02A00800"/>
    <w:rsid w:val="02A07D00"/>
    <w:rsid w:val="02D14C40"/>
    <w:rsid w:val="02FEBE30"/>
    <w:rsid w:val="03D04E7B"/>
    <w:rsid w:val="040548D3"/>
    <w:rsid w:val="040A1352"/>
    <w:rsid w:val="04904FA7"/>
    <w:rsid w:val="04916F1E"/>
    <w:rsid w:val="04E64F3B"/>
    <w:rsid w:val="059D1F8D"/>
    <w:rsid w:val="060317A8"/>
    <w:rsid w:val="061E35DE"/>
    <w:rsid w:val="066E0107"/>
    <w:rsid w:val="069408DC"/>
    <w:rsid w:val="07824A17"/>
    <w:rsid w:val="07996F6E"/>
    <w:rsid w:val="07DFD8BA"/>
    <w:rsid w:val="093B0B07"/>
    <w:rsid w:val="09867E8F"/>
    <w:rsid w:val="0990226B"/>
    <w:rsid w:val="09B94F9F"/>
    <w:rsid w:val="09E80551"/>
    <w:rsid w:val="0A2032A3"/>
    <w:rsid w:val="0A5C7676"/>
    <w:rsid w:val="0A60541B"/>
    <w:rsid w:val="0AC478E3"/>
    <w:rsid w:val="0B4B1C27"/>
    <w:rsid w:val="0BE45BE5"/>
    <w:rsid w:val="0C4B49F2"/>
    <w:rsid w:val="0CA8290A"/>
    <w:rsid w:val="0D35B1ED"/>
    <w:rsid w:val="0DD5764F"/>
    <w:rsid w:val="0E254B6B"/>
    <w:rsid w:val="0F645F24"/>
    <w:rsid w:val="0F98263C"/>
    <w:rsid w:val="101860EC"/>
    <w:rsid w:val="101F47CC"/>
    <w:rsid w:val="10A157DE"/>
    <w:rsid w:val="10C055FF"/>
    <w:rsid w:val="10C140E6"/>
    <w:rsid w:val="10DB639B"/>
    <w:rsid w:val="11694EBD"/>
    <w:rsid w:val="11772AA4"/>
    <w:rsid w:val="118107EC"/>
    <w:rsid w:val="11C10E95"/>
    <w:rsid w:val="1274518F"/>
    <w:rsid w:val="12E24EE2"/>
    <w:rsid w:val="131B6383"/>
    <w:rsid w:val="13A12DDD"/>
    <w:rsid w:val="13D50BC4"/>
    <w:rsid w:val="146E4BD8"/>
    <w:rsid w:val="14B17F78"/>
    <w:rsid w:val="1554390E"/>
    <w:rsid w:val="15BA2695"/>
    <w:rsid w:val="15CE5CA7"/>
    <w:rsid w:val="16390046"/>
    <w:rsid w:val="164A4D7D"/>
    <w:rsid w:val="165E0673"/>
    <w:rsid w:val="16B831D5"/>
    <w:rsid w:val="16BB723D"/>
    <w:rsid w:val="16D768B8"/>
    <w:rsid w:val="17E50567"/>
    <w:rsid w:val="17FF27B0"/>
    <w:rsid w:val="18285388"/>
    <w:rsid w:val="1840688C"/>
    <w:rsid w:val="186504BB"/>
    <w:rsid w:val="187D6161"/>
    <w:rsid w:val="189A5FCD"/>
    <w:rsid w:val="18F55160"/>
    <w:rsid w:val="191F1E3D"/>
    <w:rsid w:val="19267830"/>
    <w:rsid w:val="19A445FC"/>
    <w:rsid w:val="1A954C6D"/>
    <w:rsid w:val="1BAD27BA"/>
    <w:rsid w:val="1BC70B3D"/>
    <w:rsid w:val="1BC7354C"/>
    <w:rsid w:val="1BE8440E"/>
    <w:rsid w:val="1C8B6D2B"/>
    <w:rsid w:val="1D0A54DE"/>
    <w:rsid w:val="1D155CEE"/>
    <w:rsid w:val="1D1638FE"/>
    <w:rsid w:val="1E2B6CB1"/>
    <w:rsid w:val="1E312DEB"/>
    <w:rsid w:val="1E44607F"/>
    <w:rsid w:val="1E740ACF"/>
    <w:rsid w:val="1FF35744"/>
    <w:rsid w:val="1FF6BC77"/>
    <w:rsid w:val="203641A9"/>
    <w:rsid w:val="20756A8B"/>
    <w:rsid w:val="208A6CE1"/>
    <w:rsid w:val="208F07B1"/>
    <w:rsid w:val="20B83BEE"/>
    <w:rsid w:val="215160EA"/>
    <w:rsid w:val="2186353C"/>
    <w:rsid w:val="21B12080"/>
    <w:rsid w:val="21B93937"/>
    <w:rsid w:val="21C67E02"/>
    <w:rsid w:val="21DC7C19"/>
    <w:rsid w:val="21F506E7"/>
    <w:rsid w:val="222A1A6A"/>
    <w:rsid w:val="224B3737"/>
    <w:rsid w:val="22D14B46"/>
    <w:rsid w:val="231F0852"/>
    <w:rsid w:val="23514EB6"/>
    <w:rsid w:val="23860B96"/>
    <w:rsid w:val="240371BF"/>
    <w:rsid w:val="244F3473"/>
    <w:rsid w:val="24AB0691"/>
    <w:rsid w:val="24C97D99"/>
    <w:rsid w:val="25A718F0"/>
    <w:rsid w:val="25BB59F6"/>
    <w:rsid w:val="260F557C"/>
    <w:rsid w:val="26414594"/>
    <w:rsid w:val="26970054"/>
    <w:rsid w:val="26AD19C1"/>
    <w:rsid w:val="27691F03"/>
    <w:rsid w:val="27C052F3"/>
    <w:rsid w:val="27DD5EA5"/>
    <w:rsid w:val="280A7820"/>
    <w:rsid w:val="281408E2"/>
    <w:rsid w:val="287265EE"/>
    <w:rsid w:val="2917694A"/>
    <w:rsid w:val="29DA6B40"/>
    <w:rsid w:val="29F80D74"/>
    <w:rsid w:val="29FD04D3"/>
    <w:rsid w:val="2B736B9C"/>
    <w:rsid w:val="2BC41856"/>
    <w:rsid w:val="2BFF7BC6"/>
    <w:rsid w:val="2C11436F"/>
    <w:rsid w:val="2C8A61B5"/>
    <w:rsid w:val="2CDE0C66"/>
    <w:rsid w:val="2D23435A"/>
    <w:rsid w:val="2D3622E0"/>
    <w:rsid w:val="2D4D13D7"/>
    <w:rsid w:val="2DF04E50"/>
    <w:rsid w:val="2E3A797F"/>
    <w:rsid w:val="2E443131"/>
    <w:rsid w:val="2E586DFA"/>
    <w:rsid w:val="2F040D46"/>
    <w:rsid w:val="2F6B035B"/>
    <w:rsid w:val="2FA51ED7"/>
    <w:rsid w:val="2FAE5751"/>
    <w:rsid w:val="2FB1A395"/>
    <w:rsid w:val="2FD9A7D8"/>
    <w:rsid w:val="2FDBF714"/>
    <w:rsid w:val="301F33AD"/>
    <w:rsid w:val="30881BC9"/>
    <w:rsid w:val="30AB6865"/>
    <w:rsid w:val="317A2F6C"/>
    <w:rsid w:val="317C1DD7"/>
    <w:rsid w:val="319F7F4E"/>
    <w:rsid w:val="31A060AB"/>
    <w:rsid w:val="31C37E05"/>
    <w:rsid w:val="32BD1EF1"/>
    <w:rsid w:val="32D75353"/>
    <w:rsid w:val="3304709D"/>
    <w:rsid w:val="332E3A59"/>
    <w:rsid w:val="33A773CB"/>
    <w:rsid w:val="33CC7257"/>
    <w:rsid w:val="342950FC"/>
    <w:rsid w:val="344512FC"/>
    <w:rsid w:val="34570990"/>
    <w:rsid w:val="349D6851"/>
    <w:rsid w:val="36AA5135"/>
    <w:rsid w:val="36BE0DA7"/>
    <w:rsid w:val="376B6AA6"/>
    <w:rsid w:val="376D39B2"/>
    <w:rsid w:val="37B22D6C"/>
    <w:rsid w:val="37E16F03"/>
    <w:rsid w:val="37F53A3B"/>
    <w:rsid w:val="380E7F06"/>
    <w:rsid w:val="389B6C89"/>
    <w:rsid w:val="38D469F0"/>
    <w:rsid w:val="39092567"/>
    <w:rsid w:val="39627CCD"/>
    <w:rsid w:val="397BAF1F"/>
    <w:rsid w:val="3A1632DF"/>
    <w:rsid w:val="3A4A561C"/>
    <w:rsid w:val="3AB79AF3"/>
    <w:rsid w:val="3AE834C0"/>
    <w:rsid w:val="3B7EF35A"/>
    <w:rsid w:val="3B9FDB6C"/>
    <w:rsid w:val="3BD92649"/>
    <w:rsid w:val="3BF5BC2F"/>
    <w:rsid w:val="3CCF1E09"/>
    <w:rsid w:val="3CEBA265"/>
    <w:rsid w:val="3D98207C"/>
    <w:rsid w:val="3DEE7CF3"/>
    <w:rsid w:val="3E740A63"/>
    <w:rsid w:val="3E740EBA"/>
    <w:rsid w:val="3E78745D"/>
    <w:rsid w:val="3EE17838"/>
    <w:rsid w:val="3F55381A"/>
    <w:rsid w:val="3F7F7599"/>
    <w:rsid w:val="3FF4CAE0"/>
    <w:rsid w:val="3FF7B227"/>
    <w:rsid w:val="40BA72C4"/>
    <w:rsid w:val="414D3CA9"/>
    <w:rsid w:val="42260C25"/>
    <w:rsid w:val="431E075E"/>
    <w:rsid w:val="43452E25"/>
    <w:rsid w:val="43E04D06"/>
    <w:rsid w:val="446C2633"/>
    <w:rsid w:val="44D73F50"/>
    <w:rsid w:val="44E268DA"/>
    <w:rsid w:val="44E91C8C"/>
    <w:rsid w:val="450D13D7"/>
    <w:rsid w:val="45291EF1"/>
    <w:rsid w:val="45506656"/>
    <w:rsid w:val="45AB2CE7"/>
    <w:rsid w:val="461B6788"/>
    <w:rsid w:val="48194880"/>
    <w:rsid w:val="486A6C7A"/>
    <w:rsid w:val="48EA663A"/>
    <w:rsid w:val="49027ABA"/>
    <w:rsid w:val="49474D21"/>
    <w:rsid w:val="49C976E4"/>
    <w:rsid w:val="4A627F82"/>
    <w:rsid w:val="4A7058BF"/>
    <w:rsid w:val="4A9D3546"/>
    <w:rsid w:val="4B0E749A"/>
    <w:rsid w:val="4B2477C4"/>
    <w:rsid w:val="4B4F25DA"/>
    <w:rsid w:val="4B57439F"/>
    <w:rsid w:val="4B7453D6"/>
    <w:rsid w:val="4BCA48A0"/>
    <w:rsid w:val="4BE068DB"/>
    <w:rsid w:val="4BE879F5"/>
    <w:rsid w:val="4C674AF5"/>
    <w:rsid w:val="4CE10AA7"/>
    <w:rsid w:val="4CFF4044"/>
    <w:rsid w:val="4D577224"/>
    <w:rsid w:val="4D92605A"/>
    <w:rsid w:val="4DBF1CEB"/>
    <w:rsid w:val="4DCF3F1E"/>
    <w:rsid w:val="4DF0007C"/>
    <w:rsid w:val="4E8F2EC5"/>
    <w:rsid w:val="4EA97FA9"/>
    <w:rsid w:val="4EAB630A"/>
    <w:rsid w:val="4ECE2238"/>
    <w:rsid w:val="4EFE780A"/>
    <w:rsid w:val="4F333079"/>
    <w:rsid w:val="4F6B5159"/>
    <w:rsid w:val="4F833267"/>
    <w:rsid w:val="4FE9BD67"/>
    <w:rsid w:val="4FFB052F"/>
    <w:rsid w:val="50641753"/>
    <w:rsid w:val="51A25D58"/>
    <w:rsid w:val="5330023E"/>
    <w:rsid w:val="537E6D0A"/>
    <w:rsid w:val="53F74C96"/>
    <w:rsid w:val="54695C17"/>
    <w:rsid w:val="54F306A2"/>
    <w:rsid w:val="55170BA8"/>
    <w:rsid w:val="553218C9"/>
    <w:rsid w:val="567E1AA5"/>
    <w:rsid w:val="56E47B74"/>
    <w:rsid w:val="56F800A1"/>
    <w:rsid w:val="57175D52"/>
    <w:rsid w:val="57BD3DD4"/>
    <w:rsid w:val="59F914E6"/>
    <w:rsid w:val="5A6E12EB"/>
    <w:rsid w:val="5AE34FA5"/>
    <w:rsid w:val="5AF92295"/>
    <w:rsid w:val="5B04316E"/>
    <w:rsid w:val="5B250254"/>
    <w:rsid w:val="5BDD79E6"/>
    <w:rsid w:val="5BF561CA"/>
    <w:rsid w:val="5BFF5DFC"/>
    <w:rsid w:val="5CD71FC4"/>
    <w:rsid w:val="5D1F11B5"/>
    <w:rsid w:val="5D695134"/>
    <w:rsid w:val="5DAE1B18"/>
    <w:rsid w:val="5DE7D9E5"/>
    <w:rsid w:val="5ECEC941"/>
    <w:rsid w:val="5FBF9FF3"/>
    <w:rsid w:val="5FCD4E2C"/>
    <w:rsid w:val="5FEF394A"/>
    <w:rsid w:val="5FF67715"/>
    <w:rsid w:val="60C27A83"/>
    <w:rsid w:val="61B01959"/>
    <w:rsid w:val="61C91F75"/>
    <w:rsid w:val="62A768B8"/>
    <w:rsid w:val="62BF3928"/>
    <w:rsid w:val="633B5E58"/>
    <w:rsid w:val="63B3701E"/>
    <w:rsid w:val="63C4349A"/>
    <w:rsid w:val="643B5584"/>
    <w:rsid w:val="647F5392"/>
    <w:rsid w:val="65E66580"/>
    <w:rsid w:val="664B1D71"/>
    <w:rsid w:val="664B4E8E"/>
    <w:rsid w:val="66535E53"/>
    <w:rsid w:val="665D5B01"/>
    <w:rsid w:val="66A852F5"/>
    <w:rsid w:val="67277B67"/>
    <w:rsid w:val="676F46CE"/>
    <w:rsid w:val="67972404"/>
    <w:rsid w:val="67AA3209"/>
    <w:rsid w:val="67F97E07"/>
    <w:rsid w:val="68F95994"/>
    <w:rsid w:val="692857E0"/>
    <w:rsid w:val="698D0931"/>
    <w:rsid w:val="69E421A0"/>
    <w:rsid w:val="6A716E1B"/>
    <w:rsid w:val="6A7FE5F3"/>
    <w:rsid w:val="6B053271"/>
    <w:rsid w:val="6BDD78B3"/>
    <w:rsid w:val="6C4A05C8"/>
    <w:rsid w:val="6C8742B8"/>
    <w:rsid w:val="6CF86912"/>
    <w:rsid w:val="6DBF5E93"/>
    <w:rsid w:val="6DFF077E"/>
    <w:rsid w:val="6E714EF0"/>
    <w:rsid w:val="6E7E3605"/>
    <w:rsid w:val="6E7FDCC7"/>
    <w:rsid w:val="6EB72579"/>
    <w:rsid w:val="6ED6A62E"/>
    <w:rsid w:val="6EE00B15"/>
    <w:rsid w:val="6F0D15DF"/>
    <w:rsid w:val="6F6FB3EB"/>
    <w:rsid w:val="6F8731EA"/>
    <w:rsid w:val="6FC62348"/>
    <w:rsid w:val="6FCE6052"/>
    <w:rsid w:val="6FD57C00"/>
    <w:rsid w:val="6FEFFFD8"/>
    <w:rsid w:val="6FF5CC65"/>
    <w:rsid w:val="6FFB47EC"/>
    <w:rsid w:val="6FFF034A"/>
    <w:rsid w:val="7020414E"/>
    <w:rsid w:val="70484440"/>
    <w:rsid w:val="70943D3A"/>
    <w:rsid w:val="712A28F1"/>
    <w:rsid w:val="71381023"/>
    <w:rsid w:val="713D39DF"/>
    <w:rsid w:val="715C0E4B"/>
    <w:rsid w:val="71992E7C"/>
    <w:rsid w:val="71B665A5"/>
    <w:rsid w:val="72233669"/>
    <w:rsid w:val="72734D90"/>
    <w:rsid w:val="72AF14FA"/>
    <w:rsid w:val="72B017B9"/>
    <w:rsid w:val="72E4201F"/>
    <w:rsid w:val="730218E9"/>
    <w:rsid w:val="73160E6D"/>
    <w:rsid w:val="731E2396"/>
    <w:rsid w:val="7332FE48"/>
    <w:rsid w:val="733F3600"/>
    <w:rsid w:val="73AB61DA"/>
    <w:rsid w:val="73AD73D5"/>
    <w:rsid w:val="73B6EB34"/>
    <w:rsid w:val="73F71E45"/>
    <w:rsid w:val="73FA497D"/>
    <w:rsid w:val="744731E5"/>
    <w:rsid w:val="746C5BB4"/>
    <w:rsid w:val="749E74D0"/>
    <w:rsid w:val="74A37786"/>
    <w:rsid w:val="74BBD01D"/>
    <w:rsid w:val="74ED5379"/>
    <w:rsid w:val="75A86778"/>
    <w:rsid w:val="75DEEEC2"/>
    <w:rsid w:val="75E32345"/>
    <w:rsid w:val="761F2E3B"/>
    <w:rsid w:val="762C0FEC"/>
    <w:rsid w:val="76DA3ED0"/>
    <w:rsid w:val="76E3355F"/>
    <w:rsid w:val="76FF5125"/>
    <w:rsid w:val="776F6FFA"/>
    <w:rsid w:val="778769C8"/>
    <w:rsid w:val="77A75DCA"/>
    <w:rsid w:val="77DC22F5"/>
    <w:rsid w:val="783E271A"/>
    <w:rsid w:val="78616DE9"/>
    <w:rsid w:val="787E351C"/>
    <w:rsid w:val="78E875D7"/>
    <w:rsid w:val="78FD327E"/>
    <w:rsid w:val="79086DAD"/>
    <w:rsid w:val="7926462B"/>
    <w:rsid w:val="799667B4"/>
    <w:rsid w:val="79D7FD79"/>
    <w:rsid w:val="79EE5BA4"/>
    <w:rsid w:val="7A1055E1"/>
    <w:rsid w:val="7A894339"/>
    <w:rsid w:val="7AD284E8"/>
    <w:rsid w:val="7AFF7572"/>
    <w:rsid w:val="7B6C7DFB"/>
    <w:rsid w:val="7BBFBED0"/>
    <w:rsid w:val="7BC3E394"/>
    <w:rsid w:val="7BD86F2F"/>
    <w:rsid w:val="7C1F3737"/>
    <w:rsid w:val="7C352BBA"/>
    <w:rsid w:val="7C3A5B6C"/>
    <w:rsid w:val="7C72739F"/>
    <w:rsid w:val="7CBFC87B"/>
    <w:rsid w:val="7CFE0F48"/>
    <w:rsid w:val="7D272ABC"/>
    <w:rsid w:val="7D67398D"/>
    <w:rsid w:val="7D7EC23E"/>
    <w:rsid w:val="7E576F8D"/>
    <w:rsid w:val="7E8ADEBF"/>
    <w:rsid w:val="7EEF11D3"/>
    <w:rsid w:val="7EFE4840"/>
    <w:rsid w:val="7F0971A6"/>
    <w:rsid w:val="7F1D62E7"/>
    <w:rsid w:val="7F3F679B"/>
    <w:rsid w:val="7F4E2109"/>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sz w:val="24"/>
      <w:szCs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font61"/>
    <w:qFormat/>
    <w:uiPriority w:val="0"/>
    <w:rPr>
      <w:rFonts w:hint="eastAsia" w:ascii="微软雅黑" w:hAnsi="微软雅黑" w:eastAsia="微软雅黑" w:cs="微软雅黑"/>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F:\&#25105;\&#25105;&#30340;&#36164;&#26009;\&#36130;&#21153;2023\2022&#20915;&#31639;&#20844;&#24320;\&#20316;&#21442;&#32771;&#65306;&#39292;&#29366;&#65288;&#30452;&#26041;&#65289;&#22270;&#32472;&#21046;&#26041;&#27861;.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2.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图</a:t>
            </a:r>
            <a:r>
              <a:rPr lang="en-US" altLang="zh-CN"/>
              <a:t>1</a:t>
            </a:r>
            <a:r>
              <a:rPr altLang="en-US"/>
              <a:t>：收入、支出决算总计变动情况图</a:t>
            </a:r>
            <a:endParaRPr altLang="en-US"/>
          </a:p>
        </c:rich>
      </c:tx>
      <c:layout>
        <c:manualLayout>
          <c:xMode val="edge"/>
          <c:yMode val="edge"/>
          <c:x val="0.256547619047619"/>
          <c:y val="0.0571428571428571"/>
        </c:manualLayout>
      </c:layout>
      <c:overlay val="0"/>
      <c:spPr>
        <a:noFill/>
        <a:ln w="3175">
          <a:noFill/>
        </a:ln>
      </c:spPr>
    </c:title>
    <c:autoTitleDeleted val="0"/>
    <c:plotArea>
      <c:layout/>
      <c:barChart>
        <c:barDir val="col"/>
        <c:grouping val="clustered"/>
        <c:varyColors val="0"/>
        <c:ser>
          <c:idx val="0"/>
          <c:order val="0"/>
          <c:tx>
            <c:strRef>
              <c:f>'收支决算总计变动情况-图1'!$A$4</c:f>
              <c:strCache>
                <c:ptCount val="1"/>
                <c:pt idx="0">
                  <c:v>图1：收入、支出决算总计变动情况图</c:v>
                </c:pt>
              </c:strCache>
            </c:strRef>
          </c:tx>
          <c:spPr>
            <a:solidFill>
              <a:srgbClr val="9999FF">
                <a:alpha val="100000"/>
              </a:srgbClr>
            </a:solidFill>
            <a:ln w="12700">
              <a:solidFill>
                <a:srgbClr val="000000">
                  <a:alpha val="100000"/>
                </a:srgbClr>
              </a:solidFill>
              <a:prstDash val="solid"/>
            </a:ln>
          </c:spPr>
          <c:invertIfNegative val="0"/>
          <c:dLbls>
            <c:dLbl>
              <c:idx val="0"/>
              <c:layout>
                <c:manualLayout>
                  <c:x val="0.00176132013201321"/>
                  <c:y val="0.223000242424242"/>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015303054115"/>
                  <c:y val="0.172069256373256"/>
                </c:manualLayout>
              </c:layout>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'收支决算总计变动情况-图1'!$A$1:$B$1</c:f>
              <c:strCache>
                <c:ptCount val="2"/>
                <c:pt idx="0">
                  <c:v>2024年收支</c:v>
                </c:pt>
                <c:pt idx="1">
                  <c:v>2025年收支</c:v>
                </c:pt>
              </c:strCache>
            </c:strRef>
          </c:cat>
          <c:val>
            <c:numRef>
              <c:f>'收支决算总计变动情况-图1'!$A$2:$B$2</c:f>
              <c:numCache>
                <c:formatCode>General</c:formatCode>
                <c:ptCount val="2"/>
                <c:pt idx="0">
                  <c:v>965.88</c:v>
                </c:pt>
                <c:pt idx="1" c:formatCode="#,##0.00">
                  <c:v>940.7</c:v>
                </c:pt>
              </c:numCache>
            </c:numRef>
          </c:val>
        </c:ser>
        <c:dLbls>
          <c:showLegendKey val="0"/>
          <c:showVal val="0"/>
          <c:showCatName val="0"/>
          <c:showSerName val="0"/>
          <c:showPercent val="0"/>
          <c:showBubbleSize val="0"/>
        </c:dLbls>
        <c:gapWidth val="150"/>
        <c:overlap val="0"/>
        <c:axId val="733574299"/>
        <c:axId val="234548475"/>
      </c:barChart>
      <c:catAx>
        <c:axId val="733574299"/>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234548475"/>
        <c:crosses val="autoZero"/>
        <c:auto val="1"/>
        <c:lblAlgn val="ctr"/>
        <c:lblOffset val="100"/>
        <c:noMultiLvlLbl val="0"/>
      </c:catAx>
      <c:valAx>
        <c:axId val="234548475"/>
        <c:scaling>
          <c:orientation val="minMax"/>
        </c:scaling>
        <c:delete val="0"/>
        <c:axPos val="l"/>
        <c:majorGridlines>
          <c:spPr>
            <a:ln w="3175" cap="flat" cmpd="sng" algn="ctr">
              <a:solidFill>
                <a:srgbClr val="000000">
                  <a:alpha val="100000"/>
                </a:srgbClr>
              </a:solidFill>
              <a:prstDash val="solid"/>
              <a:round/>
            </a:ln>
          </c:spPr>
        </c:majorGridlines>
        <c:title>
          <c:tx>
            <c:rich>
              <a:bodyPr rot="-5400000" spcFirstLastPara="0" vertOverflow="ellipsis" vert="horz" wrap="square" anchor="ctr" anchorCtr="1"/>
              <a:lstStyle/>
              <a:p>
                <a:pPr defTabSz="914400">
                  <a:defRPr lang="zh-CN" sz="8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t>万元</a:t>
                </a:r>
              </a:p>
            </c:rich>
          </c:tx>
          <c:layout/>
          <c:overlay val="0"/>
        </c:title>
        <c:numFmt formatCode="General" sourceLinked="1"/>
        <c:majorTickMark val="in"/>
        <c:minorTickMark val="none"/>
        <c:tickLblPos val="nextTo"/>
        <c:spPr>
          <a:ln w="3175" cap="flat" cmpd="sng" algn="ctr">
            <a:solidFill>
              <a:srgbClr val="000000"/>
            </a:solidFill>
            <a:prstDash val="solid"/>
            <a:round/>
          </a:ln>
        </c:spPr>
        <c:txPr>
          <a:bodyPr rot="-60000000" spcFirstLastPara="0" vertOverflow="ellipsis" vert="horz" wrap="square"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733574299"/>
        <c:crosses val="autoZero"/>
        <c:crossBetween val="between"/>
      </c:valAx>
      <c:spPr>
        <a:solidFill>
          <a:srgbClr val="C0C0C0">
            <a:alpha val="100000"/>
          </a:srgbClr>
        </a:solidFill>
        <a:ln w="12700">
          <a:solidFill>
            <a:srgbClr val="808080">
              <a:alpha val="100000"/>
            </a:srgbClr>
          </a:solidFill>
          <a:prstDash val="solid"/>
        </a:ln>
      </c:spPr>
    </c:plotArea>
    <c:plotVisOnly val="1"/>
    <c:dispBlanksAs val="gap"/>
    <c:showDLblsOverMax val="0"/>
    <c:extLst>
      <c:ext uri="{0b15fc19-7d7d-44ad-8c2d-2c3a37ce22c3}">
        <chartProps xmlns="https://web.wps.cn/et/2018/main" chartId="{e73cd29f-04f6-407e-b504-38c99708ab08}"/>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图2：收入决算结构图</a:t>
            </a:r>
          </a:p>
        </c:rich>
      </c:tx>
      <c:layout>
        <c:manualLayout>
          <c:xMode val="edge"/>
          <c:yMode val="edge"/>
          <c:x val="0.36470161874849"/>
          <c:y val="0.0231619209519762"/>
        </c:manualLayout>
      </c:layout>
      <c:overlay val="0"/>
      <c:spPr>
        <a:noFill/>
        <a:ln>
          <a:noFill/>
        </a:ln>
        <a:effectLst/>
      </c:spPr>
    </c:title>
    <c:autoTitleDeleted val="0"/>
    <c:plotArea>
      <c:layout>
        <c:manualLayout>
          <c:layoutTarget val="inner"/>
          <c:xMode val="edge"/>
          <c:yMode val="edge"/>
          <c:x val="0.293752114037207"/>
          <c:y val="0.183633659158521"/>
          <c:w val="0.409596520898768"/>
          <c:h val="0.720492987675308"/>
        </c:manualLayout>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0655955544817588"/>
                  <c:y val="-0.0048873778155546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265698309115574"/>
                  <c:y val="-0.00208911697419709"/>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Sheet1!$A$1:$B$1</c:f>
              <c:strCache>
                <c:ptCount val="2"/>
                <c:pt idx="0">
                  <c:v>一般公共预算财政拨款收入</c:v>
                </c:pt>
                <c:pt idx="1" c:formatCode="0.00%">
                  <c:v>其他收入</c:v>
                </c:pt>
              </c:strCache>
            </c:strRef>
          </c:cat>
          <c:val>
            <c:numRef>
              <c:f>Sheet1!$A$2:$B$2</c:f>
              <c:numCache>
                <c:formatCode>0.00%</c:formatCode>
                <c:ptCount val="2"/>
                <c:pt idx="0">
                  <c:v>0.9841</c:v>
                </c:pt>
                <c:pt idx="1">
                  <c:v>0.0159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0277240879439478"/>
          <c:y val="0.88419039524011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6dc13bd-f1d1-4fda-a6ef-461193595c8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a:t>
            </a:r>
            <a:r>
              <a:rPr lang="en-US" altLang="zh-CN"/>
              <a:t>3</a:t>
            </a:r>
            <a:r>
              <a:rPr altLang="en-US"/>
              <a:t>：支出决算结构图</a:t>
            </a:r>
            <a:endParaRPr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Sheet1!$A$1:$B$1</c:f>
              <c:strCache>
                <c:ptCount val="2"/>
                <c:pt idx="0">
                  <c:v>基本支出</c:v>
                </c:pt>
                <c:pt idx="1">
                  <c:v>项目支出</c:v>
                </c:pt>
              </c:strCache>
            </c:strRef>
          </c:cat>
          <c:val>
            <c:numRef>
              <c:f>Sheet1!$A$2:$B$2</c:f>
              <c:numCache>
                <c:formatCode>0.00%</c:formatCode>
                <c:ptCount val="2"/>
                <c:pt idx="0">
                  <c:v>0.7014</c:v>
                </c:pt>
                <c:pt idx="1">
                  <c:v>0.2986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af89ede-9e65-49be-975d-cc15efc79c7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图4：财政拨款收、支决算总计变动情况</a:t>
            </a:r>
          </a:p>
        </c:rich>
      </c:tx>
      <c:layout>
        <c:manualLayout>
          <c:xMode val="edge"/>
          <c:yMode val="edge"/>
          <c:x val="0.151310456633342"/>
          <c:y val="0.035263668715626"/>
        </c:manualLayout>
      </c:layout>
      <c:overlay val="0"/>
      <c:spPr>
        <a:noFill/>
        <a:ln>
          <a:noFill/>
        </a:ln>
        <a:effectLst/>
      </c:spPr>
    </c:title>
    <c:autoTitleDeleted val="0"/>
    <c:plotArea>
      <c:layout/>
      <c:barChart>
        <c:barDir val="col"/>
        <c:grouping val="clustered"/>
        <c:varyColors val="0"/>
        <c:ser>
          <c:idx val="0"/>
          <c:order val="0"/>
          <c:tx>
            <c:strRef>
              <c:f>Sheet1!$A$1</c:f>
              <c:strCache>
                <c:ptCount val="1"/>
                <c:pt idx="0">
                  <c:v>2024年度财政拨款收入、支出总计</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Sheet1!$A$2</c:f>
              <c:numCache>
                <c:formatCode>General</c:formatCode>
                <c:ptCount val="1"/>
                <c:pt idx="0">
                  <c:v>944.97</c:v>
                </c:pt>
              </c:numCache>
            </c:numRef>
          </c:val>
        </c:ser>
        <c:ser>
          <c:idx val="1"/>
          <c:order val="1"/>
          <c:tx>
            <c:strRef>
              <c:f>Sheet1!$B$1</c:f>
              <c:strCache>
                <c:ptCount val="1"/>
                <c:pt idx="0">
                  <c:v>2025年度财政拨款收入、支出总计</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Sheet1!$B$2</c:f>
              <c:numCache>
                <c:formatCode>General</c:formatCode>
                <c:ptCount val="1"/>
                <c:pt idx="0">
                  <c:v>925.76</c:v>
                </c:pt>
              </c:numCache>
            </c:numRef>
          </c:val>
        </c:ser>
        <c:dLbls>
          <c:showLegendKey val="0"/>
          <c:showVal val="1"/>
          <c:showCatName val="0"/>
          <c:showSerName val="0"/>
          <c:showPercent val="0"/>
          <c:showBubbleSize val="0"/>
        </c:dLbls>
        <c:gapWidth val="246"/>
        <c:overlap val="-28"/>
        <c:axId val="716681997"/>
        <c:axId val="554811454"/>
      </c:barChart>
      <c:catAx>
        <c:axId val="716681997"/>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4811454"/>
        <c:crosses val="autoZero"/>
        <c:auto val="1"/>
        <c:lblAlgn val="ctr"/>
        <c:lblOffset val="100"/>
        <c:noMultiLvlLbl val="0"/>
      </c:catAx>
      <c:valAx>
        <c:axId val="554811454"/>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万元</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668199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e6913e0-44e8-4d77-9a05-7fa2003ab05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a:t>
            </a:r>
            <a:r>
              <a:rPr lang="en-US" altLang="zh-CN"/>
              <a:t>5</a:t>
            </a:r>
            <a:r>
              <a:rPr altLang="en-US"/>
              <a:t>：一般公共预算财政拨款支出决算变动情况</a:t>
            </a:r>
            <a:endParaRPr altLang="en-US"/>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Sheet1!$A$1:$B$1</c:f>
              <c:strCache>
                <c:ptCount val="2"/>
                <c:pt idx="0">
                  <c:v>2024年度一般公共预算财政拨款支出</c:v>
                </c:pt>
                <c:pt idx="1">
                  <c:v>2025年度一般公共预算财政拨款支出</c:v>
                </c:pt>
              </c:strCache>
            </c:strRef>
          </c:cat>
          <c:val>
            <c:numRef>
              <c:f>Sheet1!$A$2:$B$2</c:f>
              <c:numCache>
                <c:formatCode>General</c:formatCode>
                <c:ptCount val="2"/>
                <c:pt idx="0">
                  <c:v>944.97</c:v>
                </c:pt>
                <c:pt idx="1">
                  <c:v>925.76</c:v>
                </c:pt>
              </c:numCache>
            </c:numRef>
          </c:val>
        </c:ser>
        <c:dLbls>
          <c:showLegendKey val="0"/>
          <c:showVal val="1"/>
          <c:showCatName val="0"/>
          <c:showSerName val="0"/>
          <c:showPercent val="0"/>
          <c:showBubbleSize val="0"/>
        </c:dLbls>
        <c:gapWidth val="246"/>
        <c:overlap val="-28"/>
        <c:axId val="359064258"/>
        <c:axId val="385093320"/>
      </c:barChart>
      <c:catAx>
        <c:axId val="35906425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093320"/>
        <c:crosses val="autoZero"/>
        <c:auto val="1"/>
        <c:lblAlgn val="ctr"/>
        <c:lblOffset val="100"/>
        <c:noMultiLvlLbl val="0"/>
      </c:catAx>
      <c:valAx>
        <c:axId val="385093320"/>
        <c:scaling>
          <c:orientation val="minMax"/>
        </c:scaling>
        <c:delete val="0"/>
        <c:axPos val="l"/>
        <c:majorGridlines>
          <c:spPr>
            <a:ln w="9525" cap="flat" cmpd="sng" algn="ctr">
              <a:solidFill>
                <a:schemeClr val="lt1">
                  <a:lumMod val="90200"/>
                </a:scheme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万元</a:t>
                </a:r>
                <a:endParaRPr lang="en-US" altLang="zh-CN"/>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9064258"/>
        <c:crosses val="autoZero"/>
        <c:crossBetween val="between"/>
      </c:valAx>
      <c:spPr>
        <a:noFill/>
        <a:ln>
          <a:noFill/>
        </a:ln>
        <a:effectLst/>
      </c:spPr>
    </c:plotArea>
    <c:plotVisOnly val="1"/>
    <c:dispBlanksAs val="gap"/>
    <c:showDLblsOverMax val="0"/>
    <c:extLst>
      <c:ext uri="{0b15fc19-7d7d-44ad-8c2d-2c3a37ce22c3}">
        <chartProps xmlns="https://web.wps.cn/et/2018/main" chartId="{34d76151-9df4-47bf-b458-eadb18e4d66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r>
              <a:t>图</a:t>
            </a:r>
            <a:r>
              <a:rPr lang="en-US" altLang="zh-CN"/>
              <a:t>6</a:t>
            </a:r>
            <a:r>
              <a:rPr altLang="en-US"/>
              <a:t>：一般公共预算财政拨款支出决算结构</a:t>
            </a:r>
            <a:endParaRPr altLang="en-US"/>
          </a:p>
        </c:rich>
      </c:tx>
      <c:layout>
        <c:manualLayout>
          <c:xMode val="edge"/>
          <c:yMode val="edge"/>
          <c:x val="0.190263348634936"/>
          <c:y val="0.027836804079898"/>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Lbls>
            <c:dLbl>
              <c:idx val="0"/>
              <c:layout>
                <c:manualLayout>
                  <c:x val="-0.0403479101232182"/>
                  <c:y val="0.137271568210795"/>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281710558105823"/>
                  <c:y val="0"/>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218289441894177"/>
                      <c:h val="0.118359541011475"/>
                    </c:manualLayout>
                  </c15:layout>
                </c:ext>
              </c:extLst>
            </c:dLbl>
            <c:dLbl>
              <c:idx val="2"/>
              <c:layout>
                <c:manualLayout>
                  <c:x val="0.157646774583233"/>
                  <c:y val="0"/>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3"/>
              <c:layout>
                <c:manualLayout>
                  <c:x val="-0.0167914955303213"/>
                  <c:y val="0"/>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183619231698478"/>
                      <c:h val="0.170845728856779"/>
                    </c:manualLayout>
                  </c15:layout>
                </c:ext>
              </c:extLst>
            </c:dLbl>
            <c:dLbl>
              <c:idx val="4"/>
              <c:layout>
                <c:manualLayout>
                  <c:x val="-0.0615694686754808"/>
                  <c:y val="-0.085847853803654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5"/>
              <c:layout>
                <c:manualLayout>
                  <c:x val="-0.0161296166775137"/>
                  <c:y val="-0.1323841903952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6"/>
              <c:layout>
                <c:manualLayout>
                  <c:x val="0.0279052911331239"/>
                  <c:y val="-0.0930726731831704"/>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7"/>
              <c:layout>
                <c:manualLayout>
                  <c:x val="-0.0222275912056052"/>
                  <c:y val="0.039099022524436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8"/>
              <c:layout>
                <c:manualLayout>
                  <c:x val="0.167310944672626"/>
                  <c:y val="0.10050998725031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一般公共服务支出</c:v>
                </c:pt>
                <c:pt idx="1">
                  <c:v>国防支出</c:v>
                </c:pt>
                <c:pt idx="2">
                  <c:v>公共安全支出</c:v>
                </c:pt>
                <c:pt idx="3">
                  <c:v>文化旅游体育与传媒支出</c:v>
                </c:pt>
                <c:pt idx="4">
                  <c:v>社会保障和就业支出</c:v>
                </c:pt>
                <c:pt idx="5">
                  <c:v>卫生健康支出</c:v>
                </c:pt>
                <c:pt idx="6">
                  <c:v>农林水支出</c:v>
                </c:pt>
                <c:pt idx="7">
                  <c:v>住房保障支出</c:v>
                </c:pt>
                <c:pt idx="8">
                  <c:v>灾害防治及应急管理支出</c:v>
                </c:pt>
              </c:strCache>
            </c:strRef>
          </c:cat>
          <c:val>
            <c:numRef>
              <c:f>Sheet1!$B$2:$B$10</c:f>
              <c:numCache>
                <c:formatCode>0.00%</c:formatCode>
                <c:ptCount val="9"/>
                <c:pt idx="0">
                  <c:v>0.5658</c:v>
                </c:pt>
                <c:pt idx="1">
                  <c:v>0.001</c:v>
                </c:pt>
                <c:pt idx="2">
                  <c:v>0.001</c:v>
                </c:pt>
                <c:pt idx="3">
                  <c:v>0.0003</c:v>
                </c:pt>
                <c:pt idx="4">
                  <c:v>0.0912</c:v>
                </c:pt>
                <c:pt idx="5">
                  <c:v>0.0251</c:v>
                </c:pt>
                <c:pt idx="6">
                  <c:v>0.2666</c:v>
                </c:pt>
                <c:pt idx="7">
                  <c:v>0.0488</c:v>
                </c:pt>
                <c:pt idx="8">
                  <c:v>0.0003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
    <c:plotVisOnly val="1"/>
    <c:dispBlanksAs val="gap"/>
    <c:showDLblsOverMax val="0"/>
    <c:extLst>
      <c:ext uri="{0b15fc19-7d7d-44ad-8c2d-2c3a37ce22c3}">
        <chartProps xmlns="https://web.wps.cn/et/2018/main" chartId="{614fcdf6-3a9e-4c16-bc93-e7a83d9724ec}"/>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r>
              <a:t>图</a:t>
            </a:r>
            <a:r>
              <a:rPr lang="en-US" altLang="zh-CN"/>
              <a:t>7</a:t>
            </a:r>
            <a:r>
              <a:rPr altLang="en-US"/>
              <a:t>：财政拨款</a:t>
            </a:r>
            <a:r>
              <a:rPr lang="en-US" altLang="zh-CN"/>
              <a:t>“</a:t>
            </a:r>
            <a:r>
              <a:rPr altLang="en-US"/>
              <a:t>三公</a:t>
            </a:r>
            <a:r>
              <a:rPr lang="en-US" altLang="zh-CN"/>
              <a:t>”</a:t>
            </a:r>
            <a:r>
              <a:rPr altLang="en-US"/>
              <a:t>经费支出结构</a:t>
            </a:r>
            <a:endParaRPr altLang="en-US"/>
          </a:p>
        </c:rich>
      </c:tx>
      <c:layout>
        <c:manualLayout>
          <c:xMode val="edge"/>
          <c:yMode val="edge"/>
          <c:x val="0.201555496968099"/>
          <c:y val="0.0192364604912696"/>
        </c:manualLayout>
      </c:layout>
      <c:overlay val="0"/>
      <c:spPr>
        <a:noFill/>
        <a:ln>
          <a:noFill/>
        </a:ln>
        <a:effectLst/>
      </c:spPr>
    </c:title>
    <c:autoTitleDeleted val="0"/>
    <c:plotArea>
      <c:layout>
        <c:manualLayout>
          <c:layoutTarget val="inner"/>
          <c:xMode val="edge"/>
          <c:yMode val="edge"/>
          <c:x val="0.326580543105721"/>
          <c:y val="0.264113643089672"/>
          <c:w val="0.275391510677564"/>
          <c:h val="0.618265759100326"/>
        </c:manualLayout>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layout>
                <c:manualLayout>
                  <c:x val="-0.250988663327182"/>
                  <c:y val="0.194436223734833"/>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338254679673082"/>
                      <c:h val="0.188517312814442"/>
                    </c:manualLayout>
                  </c15:layout>
                </c:ext>
              </c:extLst>
            </c:dLbl>
            <c:dLbl>
              <c:idx val="1"/>
              <c:layout>
                <c:manualLayout>
                  <c:x val="0.0562878987608753"/>
                  <c:y val="-0.0171648416691329"/>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manualLayout>
                      <c:w val="0.669786448721329"/>
                      <c:h val="0.19650784255697"/>
                    </c:manualLayout>
                  </c15:layout>
                </c:ext>
              </c:extLst>
            </c:dLbl>
            <c:dLbl>
              <c:idx val="2"/>
              <c:layout>
                <c:manualLayout>
                  <c:x val="0.177959398892697"/>
                  <c:y val="0.15034033737792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因公出国（境）费用</c:v>
                </c:pt>
                <c:pt idx="1">
                  <c:v>公务用车购置及运行维护费</c:v>
                </c:pt>
                <c:pt idx="2">
                  <c:v>公务接待费</c:v>
                </c:pt>
              </c:strCache>
            </c:strRef>
          </c:cat>
          <c:val>
            <c:numRef>
              <c:f>Sheet1!$B$2:$D$2</c:f>
              <c:numCache>
                <c:formatCode>General</c:formatCode>
                <c:ptCount val="3"/>
                <c:pt idx="0">
                  <c:v>0</c:v>
                </c:pt>
                <c:pt idx="1" c:formatCode="0%">
                  <c:v>1</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
    <c:plotVisOnly val="1"/>
    <c:dispBlanksAs val="gap"/>
    <c:showDLblsOverMax val="0"/>
    <c:extLst>
      <c:ext uri="{0b15fc19-7d7d-44ad-8c2d-2c3a37ce22c3}">
        <chartProps xmlns="https://web.wps.cn/et/2018/main" chartId="{88c96386-d66a-47fe-812e-fbe7b1b9c4b7}"/>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41</Pages>
  <Words>1474</Words>
  <Characters>2348</Characters>
  <Lines>61</Lines>
  <Paragraphs>17</Paragraphs>
  <TotalTime>0</TotalTime>
  <ScaleCrop>false</ScaleCrop>
  <LinksUpToDate>false</LinksUpToDate>
  <CharactersWithSpaces>2400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碎碎唸〆</cp:lastModifiedBy>
  <cp:lastPrinted>2025-08-06T17:34:00Z</cp:lastPrinted>
  <dcterms:modified xsi:type="dcterms:W3CDTF">2026-09-21T01:49:41Z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AD9C3B74F11948CDABE733AD82C242D8_13</vt:lpwstr>
  </property>
  <property fmtid="{D5CDD505-2E9C-101B-9397-08002B2CF9AE}" pid="4" name="KSOTemplateDocerSaveRecord">
    <vt:lpwstr>eyJoZGlkIjoiYTVhNGI4OTdjNTU3ZDAwODgyMDA3MDNkNWQyNTE3N2QiLCJ1c2VySWQiOiIxMTk2NjY1MDM2In0=</vt:lpwstr>
  </property>
</Properties>
</file>