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AFE57">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06267"/>
      <w:bookmarkStart w:id="3" w:name="_Toc15377193"/>
      <w:bookmarkStart w:id="4" w:name="_Toc15377425"/>
      <w:bookmarkStart w:id="5" w:name="_Toc15396475"/>
    </w:p>
    <w:p w14:paraId="721D47F9">
      <w:pPr>
        <w:pStyle w:val="8"/>
        <w:rPr>
          <w:rFonts w:hint="eastAsia" w:ascii="Times New Roman" w:hAnsi="Times New Roman" w:eastAsia="方正小标宋简体" w:cs="Times New Roman"/>
          <w:color w:val="auto"/>
          <w:kern w:val="2"/>
          <w:sz w:val="72"/>
          <w:szCs w:val="72"/>
          <w:highlight w:val="none"/>
          <w:lang w:val="en-US" w:eastAsia="zh-CN" w:bidi="ar-SA"/>
        </w:rPr>
      </w:pPr>
    </w:p>
    <w:p w14:paraId="4CE9916C">
      <w:pPr>
        <w:pStyle w:val="8"/>
        <w:rPr>
          <w:rFonts w:hint="eastAsia" w:ascii="Times New Roman" w:hAnsi="Times New Roman" w:eastAsia="方正小标宋简体" w:cs="Times New Roman"/>
          <w:color w:val="auto"/>
          <w:kern w:val="2"/>
          <w:sz w:val="72"/>
          <w:szCs w:val="72"/>
          <w:highlight w:val="none"/>
          <w:lang w:val="en-US" w:eastAsia="zh-CN" w:bidi="ar-SA"/>
        </w:rPr>
      </w:pPr>
    </w:p>
    <w:p w14:paraId="234BB3D8">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2025年度沐川县</w:t>
      </w:r>
    </w:p>
    <w:p w14:paraId="48CAF641">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高笋乡人民政府单位决算公开</w:t>
      </w:r>
    </w:p>
    <w:p w14:paraId="0FCAF7FD">
      <w:pPr>
        <w:spacing w:line="600" w:lineRule="exact"/>
        <w:jc w:val="center"/>
        <w:outlineLvl w:val="0"/>
        <w:rPr>
          <w:rFonts w:ascii="Times New Roman" w:hAnsi="Times New Roman" w:eastAsia="方正小标宋简体"/>
          <w:color w:val="auto"/>
          <w:sz w:val="72"/>
          <w:szCs w:val="72"/>
          <w:highlight w:val="none"/>
        </w:rPr>
      </w:pPr>
    </w:p>
    <w:p w14:paraId="27CB623D">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3568709C">
      <w:pPr>
        <w:rPr>
          <w:rFonts w:ascii="Times New Roman" w:hAnsi="Times New Roman"/>
        </w:rPr>
      </w:pPr>
    </w:p>
    <w:bookmarkEnd w:id="0"/>
    <w:bookmarkEnd w:id="1"/>
    <w:bookmarkEnd w:id="2"/>
    <w:bookmarkEnd w:id="3"/>
    <w:bookmarkEnd w:id="4"/>
    <w:bookmarkEnd w:id="5"/>
    <w:p w14:paraId="0D757C4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4BD1EAD">
      <w:pPr>
        <w:widowControl/>
        <w:jc w:val="center"/>
        <w:rPr>
          <w:rFonts w:ascii="Times New Roman" w:hAnsi="Times New Roman" w:eastAsia="黑体" w:cstheme="minorBidi"/>
          <w:color w:val="auto"/>
          <w:sz w:val="28"/>
          <w:szCs w:val="28"/>
          <w:highlight w:val="none"/>
        </w:rPr>
      </w:pPr>
    </w:p>
    <w:p w14:paraId="02ADFCCD">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21</w:t>
      </w:r>
      <w:bookmarkStart w:id="77" w:name="_GoBack"/>
      <w:bookmarkEnd w:id="77"/>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231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0214C86">
          <w:pPr>
            <w:spacing w:before="0" w:beforeLines="0" w:after="0" w:afterLines="0" w:line="240" w:lineRule="auto"/>
            <w:ind w:left="0" w:leftChars="0" w:right="0" w:rightChars="0" w:firstLine="0" w:firstLineChars="0"/>
            <w:jc w:val="center"/>
          </w:pPr>
          <w:bookmarkStart w:id="6" w:name="_Toc15396599"/>
          <w:bookmarkStart w:id="7" w:name="_Toc15377196"/>
        </w:p>
        <w:p w14:paraId="1906856A">
          <w:pPr>
            <w:pStyle w:val="13"/>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_Toc8964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第一部分  部门概况</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_Toc8964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3</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601DC5BA">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_Toc22751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一、 部门职责</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_Toc22751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0A891758">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_Toc5546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二、 机构设置</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_Toc5546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4944D1E8">
          <w:pPr>
            <w:pStyle w:val="13"/>
            <w:tabs>
              <w:tab w:val="right" w:leader="dot" w:pos="8306"/>
              <w:tab w:val="clear" w:pos="8296"/>
            </w:tabs>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_Toc4703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 xml:space="preserve">第二部分  </w:t>
          </w:r>
          <w:r>
            <w:rPr>
              <w:rFonts w:hint="eastAsia" w:ascii="Times New Roman" w:hAnsi="Times New Roman" w:eastAsia="黑体" w:cs="Times New Roman"/>
              <w:color w:val="000000"/>
              <w:kern w:val="0"/>
              <w:sz w:val="31"/>
              <w:szCs w:val="31"/>
              <w:lang w:val="en-US" w:eastAsia="zh-CN" w:bidi="ar"/>
            </w:rPr>
            <w:t>2025</w:t>
          </w:r>
          <w:r>
            <w:rPr>
              <w:rFonts w:hint="default" w:ascii="Times New Roman" w:hAnsi="Times New Roman" w:eastAsia="黑体" w:cs="Times New Roman"/>
              <w:color w:val="000000"/>
              <w:kern w:val="0"/>
              <w:sz w:val="31"/>
              <w:szCs w:val="31"/>
              <w:lang w:val="en-US" w:eastAsia="zh-CN" w:bidi="ar"/>
            </w:rPr>
            <w:t>年度部门决算情况说明</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_Toc4703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4</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2AA32444">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_Toc22637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一、收入支出决算总体情况说明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_Toc22637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314FF5C9">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_Toc4464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二、收入决算情况说明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_Toc4464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5</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254C653">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_Toc18318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三、支出决算情况说明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_Toc18318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5</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7CEC8208">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_Toc7672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四、财政拨款收入支出决算总体情况说明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_Toc7672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6</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1BF20BA2">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_Toc28616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五、一般公共预算财政拨款支出决算情况说明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_Toc28616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6</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6732B721">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_Toc12877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六、一般公共预算财政拨款基本支出决算情况说明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_Toc12877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10</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1BD59B7">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_Toc28243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七、财政拨款“三公”经费支出决算情况说明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_Toc28243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11</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31810871">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_Toc27958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八、政府性基金预算支出决算情况说明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_Toc27958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12</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19CFF9FA">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_Toc24221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九、国有资本经营预算支出决算情况说明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_Toc24221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69D359AC">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_Toc27493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十、其他重要事项的情况说明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_Toc27493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A92BED9">
          <w:pPr>
            <w:pStyle w:val="13"/>
            <w:tabs>
              <w:tab w:val="right" w:leader="dot" w:pos="8306"/>
              <w:tab w:val="clear" w:pos="8296"/>
            </w:tabs>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_Toc24711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第三部分  名词解释</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_Toc24711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16</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330C357C">
          <w:pPr>
            <w:pStyle w:val="14"/>
            <w:bidi w:val="0"/>
            <w:ind w:left="0" w:leftChars="0" w:firstLine="0" w:firstLineChars="0"/>
            <w:jc w:val="left"/>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第</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t>四部分</w:t>
          </w:r>
          <w:r>
            <w:rPr>
              <w:rFonts w:hint="eastAsia" w:eastAsia="黑体" w:cs="Times New Roman"/>
              <w:color w:val="000000"/>
              <w:kern w:val="0"/>
              <w:sz w:val="31"/>
              <w:szCs w:val="31"/>
              <w:lang w:val="en-US" w:eastAsia="zh-CN" w:bidi="ar"/>
            </w:rPr>
            <w:t xml:space="preserve"> </w:t>
          </w:r>
          <w:r>
            <w:rPr>
              <w:rFonts w:hint="default" w:ascii="Times New Roman" w:hAnsi="Times New Roman" w:eastAsia="黑体" w:cs="Times New Roman"/>
              <w:color w:val="000000"/>
              <w:kern w:val="0"/>
              <w:sz w:val="31"/>
              <w:szCs w:val="31"/>
              <w:lang w:val="en-US" w:eastAsia="zh-CN" w:bidi="ar"/>
            </w:rPr>
            <w:t xml:space="preserve"> </w:t>
          </w:r>
          <w:r>
            <w:rPr>
              <w:rFonts w:hint="eastAsia" w:ascii="Times New Roman" w:hAnsi="Times New Roman" w:eastAsia="黑体" w:cs="Times New Roman"/>
              <w:color w:val="000000"/>
              <w:kern w:val="0"/>
              <w:sz w:val="31"/>
              <w:szCs w:val="31"/>
              <w:lang w:val="en-US" w:eastAsia="zh-CN" w:bidi="ar"/>
            </w:rPr>
            <w:t>附件</w:t>
          </w:r>
          <w:r>
            <w:rPr>
              <w:rFonts w:hint="default" w:ascii="Times New Roman" w:hAnsi="Times New Roman" w:eastAsia="黑体" w:cs="Times New Roman"/>
              <w:color w:val="000000"/>
              <w:kern w:val="0"/>
              <w:sz w:val="31"/>
              <w:szCs w:val="31"/>
              <w:lang w:val="en-US" w:eastAsia="zh-CN" w:bidi="ar"/>
            </w:rPr>
            <w:t>............................</w:t>
          </w:r>
          <w:r>
            <w:rPr>
              <w:rFonts w:hint="eastAsia" w:eastAsia="黑体" w:cs="Times New Roman"/>
              <w:color w:val="000000"/>
              <w:kern w:val="0"/>
              <w:sz w:val="31"/>
              <w:szCs w:val="31"/>
              <w:lang w:val="en-US" w:eastAsia="zh-CN" w:bidi="ar"/>
            </w:rPr>
            <w:t>....</w:t>
          </w:r>
          <w:r>
            <w:rPr>
              <w:rFonts w:hint="default" w:ascii="Times New Roman" w:hAnsi="Times New Roman" w:eastAsia="黑体" w:cs="Times New Roman"/>
              <w:color w:val="000000"/>
              <w:kern w:val="0"/>
              <w:sz w:val="31"/>
              <w:szCs w:val="31"/>
              <w:lang w:val="en-US" w:eastAsia="zh-CN" w:bidi="ar"/>
            </w:rPr>
            <w:t>...........................................</w:t>
          </w:r>
          <w:r>
            <w:rPr>
              <w:rFonts w:hint="eastAsia" w:ascii="Times New Roman" w:hAnsi="Times New Roman" w:eastAsia="黑体" w:cs="Times New Roman"/>
              <w:color w:val="000000"/>
              <w:kern w:val="0"/>
              <w:sz w:val="31"/>
              <w:szCs w:val="31"/>
              <w:lang w:val="en-US" w:eastAsia="zh-CN" w:bidi="ar"/>
            </w:rPr>
            <w:t>2</w:t>
          </w:r>
          <w:r>
            <w:rPr>
              <w:rFonts w:hint="eastAsia" w:eastAsia="黑体" w:cs="Times New Roman"/>
              <w:color w:val="000000"/>
              <w:kern w:val="0"/>
              <w:sz w:val="31"/>
              <w:szCs w:val="31"/>
              <w:lang w:val="en-US" w:eastAsia="zh-CN" w:bidi="ar"/>
            </w:rPr>
            <w:t>2</w:t>
          </w:r>
        </w:p>
        <w:p w14:paraId="64C49BC8">
          <w:pPr>
            <w:keepNext w:val="0"/>
            <w:keepLines w:val="0"/>
            <w:widowControl/>
            <w:suppressLineNumbers w:val="0"/>
            <w:jc w:val="left"/>
            <w:rPr>
              <w:rFonts w:hint="default" w:ascii="Times New Roman" w:hAnsi="Times New Roman" w:cs="Times New Roman"/>
              <w:lang w:val="en-US"/>
            </w:rPr>
          </w:pPr>
          <w:r>
            <w:rPr>
              <w:rFonts w:hint="default" w:ascii="Times New Roman" w:hAnsi="Times New Roman" w:eastAsia="黑体" w:cs="Times New Roman"/>
              <w:color w:val="000000"/>
              <w:kern w:val="0"/>
              <w:sz w:val="31"/>
              <w:szCs w:val="31"/>
              <w:lang w:val="en-US" w:eastAsia="zh-CN" w:bidi="ar"/>
            </w:rPr>
            <w:t>第五部分 附表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p>
        <w:p w14:paraId="0B4AFD5C">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一、收入支出决算总表</w:t>
          </w:r>
          <w:r>
            <w:rPr>
              <w:rFonts w:hint="default" w:ascii="Times New Roman" w:hAnsi="Times New Roman" w:eastAsia="宋体" w:cs="Times New Roman"/>
              <w:color w:val="000000"/>
              <w:kern w:val="0"/>
              <w:sz w:val="31"/>
              <w:szCs w:val="31"/>
              <w:lang w:val="en-US" w:eastAsia="zh-CN" w:bidi="ar"/>
            </w:rPr>
            <w:t xml:space="preserve">............................................................25 </w:t>
          </w:r>
        </w:p>
        <w:p w14:paraId="237CCCF3">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二、收入决算表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47C10801">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三、支出决算表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p>
        <w:p w14:paraId="42C9DAC6">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四、财政拨款收入支出决算总表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74B1D721">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五、财政拨款支出决算明细表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63D6DD3D">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六、一般公共预算财政拨款支出决算表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57C8E1E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七、一般公共预算财政拨款支出决算明细表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06445AE0">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八、一般公共预算财政拨款基本支出决算表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3D82C5D8">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九、一般公共预算财政拨款项目支出决算表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592BA109">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十、政府性基金预算财政拨款收入支出决算表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125423D8">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十一、国有资本经营预算财政拨款收入支出决算表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31FECE0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十二、国有资本经营预算财政拨款支出决算表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r>
            <w:rPr>
              <w:rFonts w:hint="default" w:ascii="Times New Roman" w:hAnsi="Times New Roman" w:eastAsia="宋体" w:cs="Times New Roman"/>
              <w:color w:val="000000"/>
              <w:kern w:val="0"/>
              <w:sz w:val="31"/>
              <w:szCs w:val="31"/>
              <w:lang w:val="en-US" w:eastAsia="zh-CN" w:bidi="ar"/>
            </w:rPr>
            <w:t xml:space="preserve"> </w:t>
          </w:r>
        </w:p>
        <w:p w14:paraId="038C889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十三、财政拨款“三公”经费支出决算表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25</w:t>
          </w:r>
        </w:p>
        <w:p w14:paraId="256A230E"/>
      </w:sdtContent>
    </w:sdt>
    <w:p w14:paraId="52DE885E"/>
    <w:p w14:paraId="2BD148BC">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112B7593">
      <w:pPr>
        <w:pStyle w:val="5"/>
        <w:jc w:val="center"/>
        <w:rPr>
          <w:rStyle w:val="29"/>
          <w:rFonts w:hint="eastAsia" w:ascii="Times New Roman" w:hAnsi="Times New Roman" w:eastAsia="方正小标宋简体" w:cs="方正小标宋简体"/>
          <w:b/>
          <w:bCs w:val="0"/>
          <w:color w:val="auto"/>
          <w:highlight w:val="none"/>
        </w:rPr>
      </w:pPr>
      <w:bookmarkStart w:id="8" w:name="_Toc896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628E1E1A">
      <w:pPr>
        <w:widowControl/>
        <w:jc w:val="left"/>
        <w:rPr>
          <w:rFonts w:ascii="Times New Roman" w:hAnsi="Times New Roman" w:eastAsia="黑体"/>
          <w:color w:val="auto"/>
          <w:sz w:val="32"/>
          <w:szCs w:val="32"/>
          <w:highlight w:val="none"/>
        </w:rPr>
      </w:pPr>
    </w:p>
    <w:p w14:paraId="04E9BAEA">
      <w:pPr>
        <w:pStyle w:val="6"/>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 xml:space="preserve"> </w:t>
      </w:r>
      <w:bookmarkStart w:id="9" w:name="_Toc22751"/>
      <w:r>
        <w:rPr>
          <w:rFonts w:hint="eastAsia" w:ascii="Times New Roman" w:hAnsi="Times New Roman" w:eastAsia="黑体"/>
          <w:b w:val="0"/>
          <w:color w:val="auto"/>
          <w:highlight w:val="none"/>
          <w:lang w:eastAsia="zh-CN"/>
        </w:rPr>
        <w:t>部门职责</w:t>
      </w:r>
      <w:bookmarkEnd w:id="9"/>
    </w:p>
    <w:p w14:paraId="27DF96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贯彻落实党的路线方针政策和国家法律法规以及上级党委、政府的决议、决定和命令，执行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党委和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人民代表大会的决议，加强农村基层政权建设，巩固党在农村的执政基础。</w:t>
      </w:r>
    </w:p>
    <w:p w14:paraId="5517BD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组织编制本行政区域经济社会发展规划和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国土空间规划。负责农村基础设施和各项公益事业建设，推进脱贫攻坚，实施乡村振兴战略，加快经济社会发展，改善群众生产生活环境。</w:t>
      </w:r>
    </w:p>
    <w:p w14:paraId="1A4E20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3.指导农村经济发展，推进农业经济结构调整，促进经济增长、农业增效、农民增收。</w:t>
      </w:r>
    </w:p>
    <w:p w14:paraId="1633C3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加强农村公共服务体系建设，抓好基础教育、科技、文化、体育、卫生健康、食（药）品安全等工作，做好民政事务、残疾、老龄、就业创业、社会保障、劳动关系协调、民族宗教、退役军人事务、统计等工作，促进农村社会事业健康发展。</w:t>
      </w:r>
    </w:p>
    <w:p w14:paraId="67C841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5.负责辖区内自然资源、生态环境保护、森林防火、防汛抗旱、粮食安全、供销合作社等工作。</w:t>
      </w:r>
    </w:p>
    <w:p w14:paraId="40447C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6.推进基层民主法治建设，加强普法依法治理，指导村（居）民委员会工作，维护群众合法权益。</w:t>
      </w:r>
    </w:p>
    <w:p w14:paraId="7CB8D1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7.承担辖区平安建设、社会治安综合治理、安全和应急管理有关工作。负责群众来信来访，</w:t>
      </w:r>
      <w:r>
        <w:rPr>
          <w:rFonts w:hint="eastAsia" w:eastAsia="仿宋_GB2312" w:cs="仿宋_GB2312"/>
          <w:color w:val="auto"/>
          <w:kern w:val="2"/>
          <w:sz w:val="32"/>
          <w:szCs w:val="32"/>
          <w:highlight w:val="none"/>
          <w:lang w:val="en-US" w:eastAsia="zh-CN" w:bidi="ar-SA"/>
        </w:rPr>
        <w:t>反映</w:t>
      </w:r>
      <w:r>
        <w:rPr>
          <w:rFonts w:hint="eastAsia" w:ascii="Times New Roman" w:hAnsi="Times New Roman" w:eastAsia="仿宋_GB2312" w:cs="仿宋_GB2312"/>
          <w:color w:val="auto"/>
          <w:kern w:val="2"/>
          <w:sz w:val="32"/>
          <w:szCs w:val="32"/>
          <w:highlight w:val="none"/>
          <w:lang w:val="en-US" w:eastAsia="zh-CN" w:bidi="ar-SA"/>
        </w:rPr>
        <w:t>社情民意，化解矛盾纠纷，维护社会安全稳定。</w:t>
      </w:r>
    </w:p>
    <w:p w14:paraId="30C532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8.负责清理编制权责清单、公共服务清单事项，建立清单动态调整和公示机制，推进政务公开，接受群众监督，增强政府公信力。</w:t>
      </w:r>
    </w:p>
    <w:p w14:paraId="7650B7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9.负责国防教育、兵役征集、民兵预备役等有关工作。</w:t>
      </w:r>
    </w:p>
    <w:p w14:paraId="342693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10.承担法律、法规、规章规定的其他职能和上级党委、政府交办的其他工作。</w:t>
      </w:r>
    </w:p>
    <w:p w14:paraId="00BBF1A9">
      <w:pPr>
        <w:pStyle w:val="6"/>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黑体"/>
          <w:b w:val="0"/>
          <w:color w:val="auto"/>
          <w:highlight w:val="none"/>
          <w:lang w:val="en-US" w:eastAsia="zh-CN"/>
        </w:rPr>
      </w:pPr>
      <w:bookmarkStart w:id="10" w:name="_Toc15377200"/>
      <w:bookmarkStart w:id="11" w:name="_Toc15396601"/>
      <w:bookmarkStart w:id="12" w:name="_Toc5546"/>
      <w:r>
        <w:rPr>
          <w:rFonts w:hint="eastAsia" w:ascii="Times New Roman" w:hAnsi="Times New Roman" w:eastAsia="黑体"/>
          <w:b w:val="0"/>
          <w:color w:val="auto"/>
          <w:highlight w:val="none"/>
          <w:lang w:val="en-US" w:eastAsia="zh-CN"/>
        </w:rPr>
        <w:t>机构设置</w:t>
      </w:r>
      <w:bookmarkEnd w:id="10"/>
      <w:bookmarkEnd w:id="11"/>
      <w:bookmarkEnd w:id="12"/>
    </w:p>
    <w:p w14:paraId="621FF419">
      <w:pPr>
        <w:pStyle w:val="15"/>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13" w:name="_Toc15377204"/>
      <w:bookmarkStart w:id="14" w:name="_Toc15396602"/>
      <w:r>
        <w:rPr>
          <w:rFonts w:hint="eastAsia" w:ascii="Times New Roman" w:hAnsi="Times New Roman" w:eastAsia="仿宋_GB2312" w:cs="仿宋_GB2312"/>
          <w:color w:val="auto"/>
          <w:kern w:val="2"/>
          <w:sz w:val="32"/>
          <w:szCs w:val="32"/>
          <w:highlight w:val="none"/>
          <w:lang w:val="en-US" w:eastAsia="zh-CN" w:bidi="ar-SA"/>
        </w:rPr>
        <w:t>高笋乡人民政府无下属二级单位，无纳入2025年度部门决算编制范围的二级预算单位。</w:t>
      </w:r>
    </w:p>
    <w:p w14:paraId="657D97A1">
      <w:pPr>
        <w:pStyle w:val="5"/>
        <w:jc w:val="center"/>
        <w:rPr>
          <w:rFonts w:hint="eastAsia" w:ascii="Times New Roman" w:hAnsi="Times New Roman" w:eastAsia="方正小标宋简体" w:cs="方正小标宋简体"/>
          <w:b w:val="0"/>
          <w:color w:val="auto"/>
          <w:highlight w:val="none"/>
        </w:rPr>
      </w:pPr>
      <w:bookmarkStart w:id="15" w:name="_Toc4703"/>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464D9312">
      <w:pPr>
        <w:rPr>
          <w:rFonts w:ascii="Times New Roman" w:hAnsi="Times New Roman"/>
          <w:color w:val="auto"/>
          <w:highlight w:val="none"/>
        </w:rPr>
      </w:pPr>
    </w:p>
    <w:p w14:paraId="5D2ED60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22637"/>
      <w:bookmarkStart w:id="17" w:name="_Toc15396603"/>
      <w:bookmarkStart w:id="1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6"/>
      <w:bookmarkEnd w:id="17"/>
      <w:bookmarkEnd w:id="18"/>
    </w:p>
    <w:p w14:paraId="411405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年度收、支总计</w:t>
      </w:r>
      <w:r>
        <w:rPr>
          <w:rFonts w:hint="eastAsia" w:eastAsia="仿宋_GB2312" w:cs="仿宋_GB2312"/>
          <w:color w:val="auto"/>
          <w:kern w:val="2"/>
          <w:sz w:val="32"/>
          <w:szCs w:val="32"/>
          <w:highlight w:val="none"/>
          <w:lang w:val="en-US" w:eastAsia="zh-CN" w:bidi="ar-SA"/>
        </w:rPr>
        <w:t>940.7</w:t>
      </w:r>
      <w:r>
        <w:rPr>
          <w:rFonts w:hint="default"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年965.88万元相比，收、支总计</w:t>
      </w:r>
      <w:r>
        <w:rPr>
          <w:rFonts w:hint="eastAsia" w:eastAsia="仿宋_GB2312" w:cs="仿宋_GB2312"/>
          <w:color w:val="auto"/>
          <w:kern w:val="2"/>
          <w:sz w:val="32"/>
          <w:szCs w:val="32"/>
          <w:highlight w:val="none"/>
          <w:lang w:val="en-US" w:eastAsia="zh-CN" w:bidi="ar-SA"/>
        </w:rPr>
        <w:t>减少25.18</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下降2.61</w:t>
      </w:r>
      <w:r>
        <w:rPr>
          <w:rFonts w:hint="default" w:ascii="Times New Roman" w:hAnsi="Times New Roman" w:eastAsia="仿宋_GB2312" w:cs="仿宋_GB2312"/>
          <w:color w:val="auto"/>
          <w:kern w:val="2"/>
          <w:sz w:val="32"/>
          <w:szCs w:val="32"/>
          <w:highlight w:val="none"/>
          <w:lang w:val="en-US" w:eastAsia="zh-CN" w:bidi="ar-SA"/>
        </w:rPr>
        <w:t>%。主要变动原因是本年</w:t>
      </w:r>
      <w:r>
        <w:rPr>
          <w:rFonts w:hint="eastAsia" w:eastAsia="仿宋_GB2312" w:cs="仿宋_GB2312"/>
          <w:color w:val="auto"/>
          <w:kern w:val="2"/>
          <w:sz w:val="32"/>
          <w:szCs w:val="32"/>
          <w:highlight w:val="none"/>
          <w:lang w:val="en-US" w:eastAsia="zh-CN" w:bidi="ar-SA"/>
        </w:rPr>
        <w:t>项目支出减少，本年度</w:t>
      </w:r>
      <w:r>
        <w:rPr>
          <w:rFonts w:hint="default" w:ascii="Times New Roman" w:hAnsi="Times New Roman" w:eastAsia="仿宋_GB2312" w:cs="仿宋_GB2312"/>
          <w:color w:val="auto"/>
          <w:kern w:val="2"/>
          <w:sz w:val="32"/>
          <w:szCs w:val="32"/>
          <w:highlight w:val="none"/>
          <w:lang w:val="en-US" w:eastAsia="zh-CN" w:bidi="ar-SA"/>
        </w:rPr>
        <w:t>项目支出</w:t>
      </w:r>
      <w:r>
        <w:rPr>
          <w:rFonts w:hint="eastAsia" w:eastAsia="仿宋_GB2312" w:cs="仿宋_GB2312"/>
          <w:color w:val="auto"/>
          <w:kern w:val="2"/>
          <w:sz w:val="32"/>
          <w:szCs w:val="32"/>
          <w:highlight w:val="none"/>
          <w:lang w:val="en-US" w:eastAsia="zh-CN" w:bidi="ar-SA"/>
        </w:rPr>
        <w:t>280.91</w:t>
      </w:r>
      <w:r>
        <w:rPr>
          <w:rFonts w:hint="default" w:ascii="Times New Roman" w:hAnsi="Times New Roman" w:eastAsia="仿宋_GB2312" w:cs="仿宋_GB2312"/>
          <w:color w:val="auto"/>
          <w:kern w:val="2"/>
          <w:sz w:val="32"/>
          <w:szCs w:val="32"/>
          <w:highlight w:val="none"/>
          <w:lang w:val="en-US" w:eastAsia="zh-CN" w:bidi="ar-SA"/>
        </w:rPr>
        <w:t>万元，与上年度308.67万元相比，减少了</w:t>
      </w:r>
      <w:r>
        <w:rPr>
          <w:rFonts w:hint="eastAsia" w:eastAsia="仿宋_GB2312" w:cs="仿宋_GB2312"/>
          <w:color w:val="auto"/>
          <w:kern w:val="2"/>
          <w:sz w:val="32"/>
          <w:szCs w:val="32"/>
          <w:highlight w:val="none"/>
          <w:lang w:val="en-US" w:eastAsia="zh-CN" w:bidi="ar-SA"/>
        </w:rPr>
        <w:t>27.76</w:t>
      </w:r>
      <w:r>
        <w:rPr>
          <w:rFonts w:hint="default" w:ascii="Times New Roman" w:hAnsi="Times New Roman" w:eastAsia="仿宋_GB2312" w:cs="仿宋_GB2312"/>
          <w:color w:val="auto"/>
          <w:kern w:val="2"/>
          <w:sz w:val="32"/>
          <w:szCs w:val="32"/>
          <w:highlight w:val="none"/>
          <w:lang w:val="en-US" w:eastAsia="zh-CN" w:bidi="ar-SA"/>
        </w:rPr>
        <w:t>万元。</w:t>
      </w:r>
    </w:p>
    <w:p w14:paraId="5E750B6B">
      <w:pPr>
        <w:pStyle w:val="6"/>
        <w:keepNext/>
        <w:keepLines/>
        <w:pageBreakBefore w:val="0"/>
        <w:widowControl w:val="0"/>
        <w:numPr>
          <w:ilvl w:val="0"/>
          <w:numId w:val="0"/>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val="en-US" w:eastAsia="zh-CN"/>
        </w:rPr>
      </w:pPr>
      <w:bookmarkStart w:id="19" w:name="_Toc15396604"/>
      <w:bookmarkStart w:id="20" w:name="_Toc4464"/>
      <w:bookmarkStart w:id="21" w:name="_Toc15377206"/>
      <w:r>
        <w:rPr>
          <w:rFonts w:hint="default" w:ascii="Times New Roman" w:hAnsi="Times New Roman" w:eastAsia="黑体"/>
          <w:b w:val="0"/>
          <w:color w:val="auto"/>
          <w:highlight w:val="none"/>
          <w:lang w:val="en-US" w:eastAsia="zh-CN"/>
        </w:rPr>
        <w:drawing>
          <wp:anchor distT="0" distB="0" distL="114300" distR="114300" simplePos="0" relativeHeight="251659264" behindDoc="0" locked="0" layoutInCell="1" allowOverlap="1">
            <wp:simplePos x="0" y="0"/>
            <wp:positionH relativeFrom="column">
              <wp:posOffset>161290</wp:posOffset>
            </wp:positionH>
            <wp:positionV relativeFrom="paragraph">
              <wp:posOffset>111760</wp:posOffset>
            </wp:positionV>
            <wp:extent cx="4800600" cy="2400300"/>
            <wp:effectExtent l="4445" t="4445" r="14605" b="1460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黑体"/>
          <w:b w:val="0"/>
          <w:color w:val="auto"/>
          <w:highlight w:val="none"/>
          <w:lang w:val="en-US" w:eastAsia="zh-CN"/>
        </w:rPr>
        <w:t xml:space="preserve">  二、收入决算情况说明</w:t>
      </w:r>
      <w:bookmarkEnd w:id="19"/>
      <w:bookmarkEnd w:id="20"/>
      <w:bookmarkEnd w:id="21"/>
    </w:p>
    <w:p w14:paraId="15E6EAA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22" w:name="_Toc17876"/>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年度本年收入合计</w:t>
      </w:r>
      <w:r>
        <w:rPr>
          <w:rFonts w:hint="eastAsia" w:eastAsia="仿宋_GB2312" w:cs="仿宋_GB2312"/>
          <w:color w:val="auto"/>
          <w:kern w:val="2"/>
          <w:sz w:val="32"/>
          <w:szCs w:val="32"/>
          <w:highlight w:val="none"/>
          <w:lang w:val="en-US" w:eastAsia="zh-CN" w:bidi="ar-SA"/>
        </w:rPr>
        <w:t>940.7</w:t>
      </w:r>
      <w:r>
        <w:rPr>
          <w:rFonts w:hint="eastAsia" w:ascii="Times New Roman" w:hAnsi="Times New Roman" w:eastAsia="仿宋_GB2312" w:cs="仿宋_GB2312"/>
          <w:color w:val="auto"/>
          <w:kern w:val="2"/>
          <w:sz w:val="32"/>
          <w:szCs w:val="32"/>
          <w:highlight w:val="none"/>
          <w:lang w:val="en-US" w:eastAsia="zh-CN" w:bidi="ar-SA"/>
        </w:rPr>
        <w:t>万元，其中：一般公共预算财政拨款收入</w:t>
      </w:r>
      <w:r>
        <w:rPr>
          <w:rFonts w:hint="eastAsia" w:eastAsia="仿宋_GB2312" w:cs="仿宋_GB2312"/>
          <w:color w:val="auto"/>
          <w:kern w:val="2"/>
          <w:sz w:val="32"/>
          <w:szCs w:val="32"/>
          <w:highlight w:val="none"/>
          <w:lang w:val="en-US" w:eastAsia="zh-CN" w:bidi="ar-SA"/>
        </w:rPr>
        <w:t>925.76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98.41</w:t>
      </w:r>
      <w:r>
        <w:rPr>
          <w:rFonts w:hint="eastAsia" w:ascii="Times New Roman" w:hAnsi="Times New Roman" w:eastAsia="仿宋_GB2312" w:cs="仿宋_GB2312"/>
          <w:color w:val="auto"/>
          <w:kern w:val="2"/>
          <w:sz w:val="32"/>
          <w:szCs w:val="32"/>
          <w:highlight w:val="none"/>
          <w:lang w:val="en-US" w:eastAsia="zh-CN" w:bidi="ar-SA"/>
        </w:rPr>
        <w:t>%；其他收入</w:t>
      </w:r>
      <w:r>
        <w:rPr>
          <w:rFonts w:hint="eastAsia" w:eastAsia="仿宋_GB2312" w:cs="仿宋_GB2312"/>
          <w:color w:val="auto"/>
          <w:kern w:val="2"/>
          <w:sz w:val="32"/>
          <w:szCs w:val="32"/>
          <w:highlight w:val="none"/>
          <w:lang w:val="en-US" w:eastAsia="zh-CN" w:bidi="ar-SA"/>
        </w:rPr>
        <w:t>14.94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1.59</w:t>
      </w:r>
      <w:r>
        <w:rPr>
          <w:rFonts w:hint="eastAsia" w:ascii="Times New Roman" w:hAnsi="Times New Roman" w:eastAsia="仿宋_GB2312" w:cs="仿宋_GB2312"/>
          <w:color w:val="auto"/>
          <w:kern w:val="2"/>
          <w:sz w:val="32"/>
          <w:szCs w:val="32"/>
          <w:highlight w:val="none"/>
          <w:lang w:val="en-US" w:eastAsia="zh-CN" w:bidi="ar-SA"/>
        </w:rPr>
        <w:t>%。</w:t>
      </w:r>
      <w:bookmarkEnd w:id="22"/>
    </w:p>
    <w:p w14:paraId="3C71849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C7792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3" w:name="_Toc15396605"/>
      <w:bookmarkStart w:id="24" w:name="_Toc18318"/>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3"/>
      <w:bookmarkEnd w:id="24"/>
      <w:bookmarkEnd w:id="25"/>
    </w:p>
    <w:p w14:paraId="17AE4EFF">
      <w:pPr>
        <w:ind w:firstLine="640" w:firstLineChars="200"/>
        <w:jc w:val="left"/>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 xml:space="preserve">2025年度本年支出合计940.62万元，其中：基本支出659.71万元，占70.14%；项目支出280.91万元，占29.86%。  </w:t>
      </w:r>
      <w: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CC1E3F">
      <w:pPr>
        <w:spacing w:line="600" w:lineRule="exact"/>
        <w:ind w:firstLine="640" w:firstLineChars="200"/>
        <w:outlineLvl w:val="1"/>
        <w:rPr>
          <w:rStyle w:val="30"/>
          <w:rFonts w:ascii="Times New Roman" w:hAnsi="Times New Roman" w:eastAsia="黑体"/>
          <w:b w:val="0"/>
          <w:color w:val="auto"/>
          <w:highlight w:val="none"/>
        </w:rPr>
      </w:pPr>
      <w:bookmarkStart w:id="26" w:name="_Toc7672"/>
      <w:bookmarkStart w:id="27" w:name="_Toc15377208"/>
      <w:bookmarkStart w:id="28"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bookmarkEnd w:id="28"/>
    </w:p>
    <w:p w14:paraId="6D511F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2025年度财政拨款收入、支出总计均为925.76万元。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年度相比944.97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，财政拨款收入总计、支出总计各减少</w:t>
      </w:r>
      <w:r>
        <w:rPr>
          <w:rFonts w:hint="eastAsia" w:eastAsia="仿宋_GB2312" w:cs="仿宋_GB2312"/>
          <w:color w:val="auto"/>
          <w:kern w:val="2"/>
          <w:sz w:val="32"/>
          <w:szCs w:val="32"/>
          <w:highlight w:val="none"/>
          <w:lang w:val="en-US" w:eastAsia="zh-CN" w:bidi="ar-SA"/>
        </w:rPr>
        <w:t>19.21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2.03</w:t>
      </w:r>
      <w:r>
        <w:rPr>
          <w:rFonts w:hint="eastAsia" w:ascii="Times New Roman" w:hAnsi="Times New Roman" w:eastAsia="仿宋_GB2312" w:cs="仿宋_GB2312"/>
          <w:color w:val="auto"/>
          <w:kern w:val="2"/>
          <w:sz w:val="32"/>
          <w:szCs w:val="32"/>
          <w:highlight w:val="none"/>
          <w:lang w:val="en-US" w:eastAsia="zh-CN" w:bidi="ar-SA"/>
        </w:rPr>
        <w:t>%。主要变动原因是项目减少。</w:t>
      </w:r>
    </w:p>
    <w:p w14:paraId="39E03E33">
      <w:pPr>
        <w:spacing w:line="600" w:lineRule="exact"/>
        <w:ind w:firstLine="640"/>
        <w:rPr>
          <w:rStyle w:val="30"/>
          <w:rFonts w:ascii="Times New Roman" w:hAnsi="Times New Roman" w:eastAsia="黑体"/>
          <w:b w:val="0"/>
          <w:color w:val="auto"/>
          <w:highlight w:val="none"/>
        </w:rPr>
      </w:pPr>
      <w:r>
        <w:drawing>
          <wp:anchor distT="0" distB="0" distL="114300" distR="114300" simplePos="0" relativeHeight="251662336" behindDoc="0" locked="0" layoutInCell="1" allowOverlap="1">
            <wp:simplePos x="0" y="0"/>
            <wp:positionH relativeFrom="column">
              <wp:posOffset>444500</wp:posOffset>
            </wp:positionH>
            <wp:positionV relativeFrom="paragraph">
              <wp:posOffset>50800</wp:posOffset>
            </wp:positionV>
            <wp:extent cx="4700270" cy="1962785"/>
            <wp:effectExtent l="4445" t="5080" r="19685" b="1333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29" w:name="_Toc15396607"/>
      <w:bookmarkStart w:id="30" w:name="_Toc28616"/>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9"/>
      <w:bookmarkEnd w:id="30"/>
      <w:bookmarkEnd w:id="31"/>
    </w:p>
    <w:p w14:paraId="0BAC71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6979751F">
      <w:pPr>
        <w:spacing w:line="600" w:lineRule="exact"/>
        <w:ind w:firstLine="640"/>
      </w:pPr>
      <w:r>
        <w:rPr>
          <w:rFonts w:hint="eastAsia" w:eastAsia="仿宋_GB2312" w:cs="仿宋_GB2312"/>
          <w:color w:val="auto"/>
          <w:kern w:val="2"/>
          <w:sz w:val="32"/>
          <w:szCs w:val="32"/>
          <w:highlight w:val="none"/>
          <w:lang w:val="en-US" w:eastAsia="zh-CN" w:bidi="ar-SA"/>
        </w:rPr>
        <w:t>2025年度一般公共预算财政拨款支出925.76万元，占本年支出合计的98.41%。</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年度一般公共预算财政拨款支出944.97万元相比，一般公共预算财政拨款支出</w:t>
      </w:r>
      <w:r>
        <w:rPr>
          <w:rFonts w:hint="eastAsia" w:eastAsia="仿宋_GB2312" w:cs="仿宋_GB2312"/>
          <w:color w:val="auto"/>
          <w:kern w:val="2"/>
          <w:sz w:val="32"/>
          <w:szCs w:val="32"/>
          <w:highlight w:val="none"/>
          <w:lang w:val="en-US" w:eastAsia="zh-CN" w:bidi="ar-SA"/>
        </w:rPr>
        <w:t>减少19.21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w:t>
      </w:r>
      <w:r>
        <w:rPr>
          <w:rFonts w:hint="eastAsia" w:ascii="Times New Roman" w:hAnsi="Times New Roman" w:eastAsia="仿宋_GB2312" w:cs="仿宋_GB2312"/>
          <w:color w:val="auto"/>
          <w:kern w:val="2"/>
          <w:sz w:val="32"/>
          <w:szCs w:val="32"/>
          <w:highlight w:val="none"/>
          <w:lang w:val="en-US" w:eastAsia="zh-CN" w:bidi="ar-SA"/>
        </w:rPr>
        <w:t>%。主要变动原因是项目减少</w:t>
      </w:r>
      <w:r>
        <w:rPr>
          <w:rFonts w:hint="eastAsia" w:eastAsia="仿宋_GB2312" w:cs="仿宋_GB2312"/>
          <w:color w:val="auto"/>
          <w:kern w:val="2"/>
          <w:sz w:val="32"/>
          <w:szCs w:val="32"/>
          <w:highlight w:val="none"/>
          <w:lang w:val="en-US" w:eastAsia="zh-CN" w:bidi="ar-SA"/>
        </w:rPr>
        <w:t>。</w:t>
      </w:r>
      <w:bookmarkStart w:id="33" w:name="_Toc15377211"/>
    </w:p>
    <w:p w14:paraId="263843F3">
      <w:pPr>
        <w:spacing w:line="600" w:lineRule="exact"/>
        <w:ind w:firstLine="640"/>
        <w:rPr>
          <w:rFonts w:hint="eastAsia" w:ascii="Times New Roman" w:hAnsi="Times New Roman" w:eastAsia="楷体_GB2312" w:cs="楷体_GB2312"/>
          <w:b/>
          <w:color w:val="auto"/>
          <w:sz w:val="32"/>
          <w:szCs w:val="32"/>
          <w:highlight w:val="none"/>
        </w:rPr>
      </w:pPr>
      <w:r>
        <w:drawing>
          <wp:anchor distT="0" distB="0" distL="114300" distR="114300" simplePos="0" relativeHeight="251663360" behindDoc="0" locked="0" layoutInCell="1" allowOverlap="1">
            <wp:simplePos x="0" y="0"/>
            <wp:positionH relativeFrom="column">
              <wp:posOffset>-34290</wp:posOffset>
            </wp:positionH>
            <wp:positionV relativeFrom="paragraph">
              <wp:posOffset>123190</wp:posOffset>
            </wp:positionV>
            <wp:extent cx="5256530" cy="2988310"/>
            <wp:effectExtent l="5080" t="4445" r="15240" b="17145"/>
            <wp:wrapTopAndBottom/>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701D90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925.76</w:t>
      </w:r>
      <w:r>
        <w:rPr>
          <w:rFonts w:hint="eastAsia" w:ascii="Times New Roman" w:hAnsi="Times New Roman" w:eastAsia="仿宋_GB2312" w:cs="仿宋_GB2312"/>
          <w:color w:val="auto"/>
          <w:kern w:val="2"/>
          <w:sz w:val="32"/>
          <w:szCs w:val="32"/>
          <w:highlight w:val="none"/>
          <w:lang w:val="en-US" w:eastAsia="zh-CN" w:bidi="ar-SA"/>
        </w:rPr>
        <w:t>万元，主要用于以下方面：一般公共服务支出</w:t>
      </w:r>
      <w:r>
        <w:rPr>
          <w:rFonts w:hint="eastAsia" w:eastAsia="仿宋_GB2312" w:cs="仿宋_GB2312"/>
          <w:color w:val="auto"/>
          <w:kern w:val="2"/>
          <w:sz w:val="32"/>
          <w:szCs w:val="32"/>
          <w:highlight w:val="none"/>
          <w:lang w:val="en-US" w:eastAsia="zh-CN" w:bidi="ar-SA"/>
        </w:rPr>
        <w:t>523.78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56.58</w:t>
      </w:r>
      <w:r>
        <w:rPr>
          <w:rFonts w:hint="eastAsia" w:ascii="Times New Roman" w:hAnsi="Times New Roman" w:eastAsia="仿宋_GB2312" w:cs="仿宋_GB2312"/>
          <w:color w:val="auto"/>
          <w:kern w:val="2"/>
          <w:sz w:val="32"/>
          <w:szCs w:val="32"/>
          <w:highlight w:val="none"/>
          <w:lang w:val="en-US" w:eastAsia="zh-CN" w:bidi="ar-SA"/>
        </w:rPr>
        <w:t>%；国防支出0.8</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%；公共安全支出</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84.46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246.78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26.66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45.14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4.88</w:t>
      </w:r>
      <w:r>
        <w:rPr>
          <w:rFonts w:hint="eastAsia" w:ascii="Times New Roman" w:hAnsi="Times New Roman" w:eastAsia="仿宋_GB2312" w:cs="仿宋_GB2312"/>
          <w:color w:val="auto"/>
          <w:kern w:val="2"/>
          <w:sz w:val="32"/>
          <w:szCs w:val="32"/>
          <w:highlight w:val="none"/>
          <w:lang w:val="en-US" w:eastAsia="zh-CN" w:bidi="ar-SA"/>
        </w:rPr>
        <w:t>%；灾害防治及应急管理支出</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，占0.03</w:t>
      </w:r>
      <w:r>
        <w:rPr>
          <w:rFonts w:hint="eastAsia" w:ascii="Times New Roman" w:hAnsi="Times New Roman" w:eastAsia="仿宋_GB2312" w:cs="仿宋_GB2312"/>
          <w:color w:val="auto"/>
          <w:kern w:val="2"/>
          <w:sz w:val="32"/>
          <w:szCs w:val="32"/>
          <w:highlight w:val="none"/>
          <w:lang w:val="en-US" w:eastAsia="zh-CN" w:bidi="ar-SA"/>
        </w:rPr>
        <w:t>%。</w:t>
      </w:r>
    </w:p>
    <w:p w14:paraId="5016A7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p>
    <w:p w14:paraId="4402CA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2AAD222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1278D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7C7D31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9302DA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423081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213"/>
      <w:bookmarkStart w:id="37" w:name="_Toc15377444"/>
      <w:r>
        <w:rPr>
          <w:rFonts w:hint="eastAsia" w:eastAsia="仿宋_GB2312" w:cs="仿宋_GB2312"/>
          <w:color w:val="auto"/>
          <w:kern w:val="2"/>
          <w:sz w:val="32"/>
          <w:szCs w:val="32"/>
          <w:highlight w:val="none"/>
          <w:lang w:val="en-US" w:eastAsia="zh-CN" w:bidi="ar-SA"/>
        </w:rPr>
        <w:t>2025年度一般公共预算财政拨款支出925.76万元，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99.89</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0E5597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一般公共服务（类）人大事务（款）人大会议（项）：支出决算为1.6</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55670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159385</wp:posOffset>
            </wp:positionH>
            <wp:positionV relativeFrom="page">
              <wp:posOffset>546735</wp:posOffset>
            </wp:positionV>
            <wp:extent cx="5256530" cy="2988310"/>
            <wp:effectExtent l="5080" t="4445" r="15240" b="17145"/>
            <wp:wrapSquare wrapText="bothSides"/>
            <wp:docPr id="17" name="图表 1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一般公共服务（类）人大事务（款）代表工作（项）：支出决算为</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E03C2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一般公共服务（类）政协事务（款）一般行政管理事务（项）：支出决算为0.5万元，完成预算100%。</w:t>
      </w:r>
    </w:p>
    <w:p w14:paraId="1B8FD9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一般公共服务（类）政协事务（款）其他政协事务支出（项）：支出决算为0.6万元，完成预算100%。</w:t>
      </w:r>
    </w:p>
    <w:p w14:paraId="2981CF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一般公共服务（类）政府办公厅（室）及相关机构事务（款）行政运行（项）：支出决算为</w:t>
      </w:r>
      <w:r>
        <w:rPr>
          <w:rFonts w:hint="eastAsia" w:eastAsia="仿宋_GB2312" w:cs="仿宋_GB2312"/>
          <w:color w:val="auto"/>
          <w:kern w:val="2"/>
          <w:sz w:val="32"/>
          <w:szCs w:val="32"/>
          <w:highlight w:val="none"/>
          <w:lang w:val="en-US" w:eastAsia="zh-CN" w:bidi="ar-SA"/>
        </w:rPr>
        <w:t>366.33</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82FAD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一般公共服务（类）政府办公厅（室）及相关机构事务（款）事业运行（项）：支出决算为</w:t>
      </w:r>
      <w:r>
        <w:rPr>
          <w:rFonts w:hint="eastAsia" w:eastAsia="仿宋_GB2312" w:cs="仿宋_GB2312"/>
          <w:color w:val="auto"/>
          <w:kern w:val="2"/>
          <w:sz w:val="32"/>
          <w:szCs w:val="32"/>
          <w:highlight w:val="none"/>
          <w:lang w:val="en-US" w:eastAsia="zh-CN" w:bidi="ar-SA"/>
        </w:rPr>
        <w:t>150.17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8E6AC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国防支出（类）国防动员（款）民兵（项）：决算数为0.8</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BD33C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公共安全支出（类）司法（款）普法宣传（项）：决算数为</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CD2AB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文化旅游体育与传媒支出（类）文化和旅游（款）群众文化（项）：决算数为</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0EE9D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民政管理事务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老龄事务</w:t>
      </w:r>
      <w:r>
        <w:rPr>
          <w:rFonts w:hint="eastAsia" w:ascii="Times New Roman" w:hAnsi="Times New Roman" w:eastAsia="仿宋_GB2312" w:cs="仿宋_GB2312"/>
          <w:color w:val="auto"/>
          <w:kern w:val="2"/>
          <w:sz w:val="32"/>
          <w:szCs w:val="32"/>
          <w:highlight w:val="none"/>
          <w:lang w:val="en-US" w:eastAsia="zh-CN" w:bidi="ar-SA"/>
        </w:rPr>
        <w:t>（项）：决算数为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A1E4F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社会保障和就业支出（类）行政事业单位养老支出（款）机关事业单位基本养老保险缴费支出（项）：决算数为</w:t>
      </w:r>
      <w:r>
        <w:rPr>
          <w:rFonts w:hint="eastAsia" w:eastAsia="仿宋_GB2312" w:cs="仿宋_GB2312"/>
          <w:color w:val="auto"/>
          <w:kern w:val="2"/>
          <w:sz w:val="32"/>
          <w:szCs w:val="32"/>
          <w:highlight w:val="none"/>
          <w:lang w:val="en-US" w:eastAsia="zh-CN" w:bidi="ar-SA"/>
        </w:rPr>
        <w:t>53.38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0314C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社会保障和就业支出（类）行政事业单位养老支出（款）机关事业单位职业年金缴费支出（项）：决算数为</w:t>
      </w:r>
      <w:r>
        <w:rPr>
          <w:rFonts w:hint="eastAsia" w:eastAsia="仿宋_GB2312" w:cs="仿宋_GB2312"/>
          <w:color w:val="auto"/>
          <w:kern w:val="2"/>
          <w:sz w:val="32"/>
          <w:szCs w:val="32"/>
          <w:highlight w:val="none"/>
          <w:lang w:val="en-US" w:eastAsia="zh-CN" w:bidi="ar-SA"/>
        </w:rPr>
        <w:t>17.98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7998B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w:t>
      </w:r>
      <w:r>
        <w:rPr>
          <w:rFonts w:hint="eastAsia"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（项）：决算数为</w:t>
      </w:r>
      <w:r>
        <w:rPr>
          <w:rFonts w:hint="eastAsia" w:eastAsia="仿宋_GB2312" w:cs="仿宋_GB2312"/>
          <w:color w:val="auto"/>
          <w:kern w:val="2"/>
          <w:sz w:val="32"/>
          <w:szCs w:val="32"/>
          <w:highlight w:val="none"/>
          <w:lang w:val="en-US" w:eastAsia="zh-CN" w:bidi="ar-SA"/>
        </w:rPr>
        <w:t>2.24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1E6712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社会保障和就业支出（类）临时救助（款）临时救助支出（项）：决算数为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89.41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，主要原因是结转到下一年使用。</w:t>
      </w:r>
    </w:p>
    <w:p w14:paraId="7F07F3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社会保障和就业支出（类）其他社会保障和就业支出（款）其他社会保障和就业支出（项）：决算数为</w:t>
      </w:r>
      <w:r>
        <w:rPr>
          <w:rFonts w:hint="eastAsia" w:eastAsia="仿宋_GB2312" w:cs="仿宋_GB2312"/>
          <w:color w:val="auto"/>
          <w:kern w:val="2"/>
          <w:sz w:val="32"/>
          <w:szCs w:val="32"/>
          <w:highlight w:val="none"/>
          <w:lang w:val="en-US" w:eastAsia="zh-CN" w:bidi="ar-SA"/>
        </w:rPr>
        <w:t>1.27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149E5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卫生健康支出（类）行政事业单位医疗（款）行政单位医疗（项）：决算数为</w:t>
      </w:r>
      <w:r>
        <w:rPr>
          <w:rFonts w:hint="eastAsia" w:eastAsia="仿宋_GB2312" w:cs="仿宋_GB2312"/>
          <w:color w:val="auto"/>
          <w:kern w:val="2"/>
          <w:sz w:val="32"/>
          <w:szCs w:val="32"/>
          <w:highlight w:val="none"/>
          <w:lang w:val="en-US" w:eastAsia="zh-CN" w:bidi="ar-SA"/>
        </w:rPr>
        <w:t>14.28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9E997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卫生健康支出（类）行政事业单位医疗（款）事业单位医疗（项）：决算数为</w:t>
      </w:r>
      <w:r>
        <w:rPr>
          <w:rFonts w:hint="eastAsia" w:eastAsia="仿宋_GB2312" w:cs="仿宋_GB2312"/>
          <w:color w:val="auto"/>
          <w:kern w:val="2"/>
          <w:sz w:val="32"/>
          <w:szCs w:val="32"/>
          <w:highlight w:val="none"/>
          <w:lang w:val="en-US" w:eastAsia="zh-CN" w:bidi="ar-SA"/>
        </w:rPr>
        <w:t>6.09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B7844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卫生健康支出（类）行政事业单位医疗（款）公务员医疗补助（项）：决算数为</w:t>
      </w:r>
      <w:r>
        <w:rPr>
          <w:rFonts w:hint="eastAsia" w:eastAsia="仿宋_GB2312" w:cs="仿宋_GB2312"/>
          <w:color w:val="auto"/>
          <w:kern w:val="2"/>
          <w:sz w:val="32"/>
          <w:szCs w:val="32"/>
          <w:highlight w:val="none"/>
          <w:lang w:val="en-US" w:eastAsia="zh-CN" w:bidi="ar-SA"/>
        </w:rPr>
        <w:t>2.84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14BF6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农林水支出（类）农村综合改革（款）对村民委员会和村党支部的补助（项）：决算数为</w:t>
      </w:r>
      <w:r>
        <w:rPr>
          <w:rFonts w:hint="eastAsia" w:eastAsia="仿宋_GB2312" w:cs="仿宋_GB2312"/>
          <w:color w:val="auto"/>
          <w:kern w:val="2"/>
          <w:sz w:val="32"/>
          <w:szCs w:val="32"/>
          <w:highlight w:val="none"/>
          <w:lang w:val="en-US" w:eastAsia="zh-CN" w:bidi="ar-SA"/>
        </w:rPr>
        <w:t>246.78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61F45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住房保障支出（类）住房改革支出（款）住房公积金（项）：决算数为</w:t>
      </w:r>
      <w:r>
        <w:rPr>
          <w:rFonts w:hint="eastAsia" w:eastAsia="仿宋_GB2312" w:cs="仿宋_GB2312"/>
          <w:color w:val="auto"/>
          <w:kern w:val="2"/>
          <w:sz w:val="32"/>
          <w:szCs w:val="32"/>
          <w:highlight w:val="none"/>
          <w:lang w:val="en-US" w:eastAsia="zh-CN" w:bidi="ar-SA"/>
        </w:rPr>
        <w:t>45.14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0F318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灾害防治及应急管理支出（类）自然灾害救灾及恢复重建支出（款）其他自然灾害救灾及恢复重建支出（项）：决算数为</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BB423DE">
      <w:pPr>
        <w:tabs>
          <w:tab w:val="right" w:pos="8306"/>
        </w:tabs>
        <w:spacing w:line="600" w:lineRule="exact"/>
        <w:ind w:firstLine="640"/>
        <w:outlineLvl w:val="1"/>
        <w:rPr>
          <w:rStyle w:val="30"/>
          <w:rFonts w:ascii="Times New Roman" w:hAnsi="Times New Roman"/>
          <w:color w:val="auto"/>
          <w:highlight w:val="none"/>
        </w:rPr>
      </w:pPr>
      <w:bookmarkStart w:id="38" w:name="_Toc12877"/>
      <w:bookmarkStart w:id="39" w:name="_Toc15377214"/>
      <w:bookmarkStart w:id="40"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bookmarkEnd w:id="40"/>
      <w:r>
        <w:rPr>
          <w:rStyle w:val="30"/>
          <w:rFonts w:ascii="Times New Roman" w:hAnsi="Times New Roman" w:eastAsia="黑体"/>
          <w:b w:val="0"/>
          <w:color w:val="auto"/>
          <w:highlight w:val="none"/>
        </w:rPr>
        <w:tab/>
      </w:r>
    </w:p>
    <w:p w14:paraId="31918A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659.71</w:t>
      </w:r>
      <w:r>
        <w:rPr>
          <w:rFonts w:hint="eastAsia" w:ascii="Times New Roman" w:hAnsi="Times New Roman" w:eastAsia="仿宋_GB2312" w:cs="仿宋_GB2312"/>
          <w:color w:val="auto"/>
          <w:kern w:val="2"/>
          <w:sz w:val="32"/>
          <w:szCs w:val="32"/>
          <w:highlight w:val="none"/>
          <w:lang w:val="en-US" w:eastAsia="zh-CN" w:bidi="ar-SA"/>
        </w:rPr>
        <w:t>万元，其中：</w:t>
      </w:r>
    </w:p>
    <w:p w14:paraId="315CE4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577.39万元，主要包括：基本工资、津贴补贴、奖金、绩效工资、机关事业单位基本养老保险缴费、职业年金缴费、职工基本医疗保险缴费、公务员医疗补助缴费、其他社会保障缴费、住房公积金、其他工资福利支出、生活补助、奖励金、其他对个人和家庭的补助支出等。</w:t>
      </w:r>
    </w:p>
    <w:p w14:paraId="0BC309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公用经费82.32万元，主要包括：办公费、印刷费、水费、电费、邮电费、差旅费、维修（护）费、劳务费、委托业务费、工会经费、福利费、公务用车运行维护费、其他交通费、其他商品和服务支出等。</w:t>
      </w:r>
    </w:p>
    <w:p w14:paraId="78EE5E53">
      <w:pPr>
        <w:spacing w:line="600" w:lineRule="exact"/>
        <w:ind w:firstLine="640"/>
        <w:outlineLvl w:val="1"/>
        <w:rPr>
          <w:rStyle w:val="30"/>
          <w:rFonts w:ascii="Times New Roman" w:hAnsi="Times New Roman" w:eastAsia="黑体"/>
          <w:b w:val="0"/>
          <w:color w:val="auto"/>
          <w:highlight w:val="none"/>
        </w:rPr>
      </w:pPr>
      <w:bookmarkStart w:id="41" w:name="_Toc15377215"/>
      <w:bookmarkStart w:id="42" w:name="_Toc28243"/>
      <w:bookmarkStart w:id="43"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1"/>
      <w:bookmarkEnd w:id="42"/>
      <w:bookmarkEnd w:id="43"/>
    </w:p>
    <w:p w14:paraId="74FA22B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4"/>
    </w:p>
    <w:p w14:paraId="07FBBA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94.92</w:t>
      </w:r>
      <w:r>
        <w:rPr>
          <w:rFonts w:hint="eastAsia" w:ascii="Times New Roman" w:hAnsi="Times New Roman" w:eastAsia="仿宋_GB2312" w:cs="仿宋_GB2312"/>
          <w:color w:val="auto"/>
          <w:kern w:val="2"/>
          <w:sz w:val="32"/>
          <w:szCs w:val="32"/>
          <w:highlight w:val="none"/>
          <w:lang w:val="en-US" w:eastAsia="zh-CN" w:bidi="ar-SA"/>
        </w:rPr>
        <w:t>%，较上年度</w:t>
      </w:r>
      <w:r>
        <w:rPr>
          <w:rFonts w:hint="default"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0.51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15.41</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公务接待费的0.15万元未进行列支</w:t>
      </w:r>
      <w:r>
        <w:rPr>
          <w:rFonts w:hint="eastAsia" w:ascii="Times New Roman" w:hAnsi="Times New Roman" w:eastAsia="仿宋_GB2312" w:cs="仿宋_GB2312"/>
          <w:color w:val="auto"/>
          <w:kern w:val="2"/>
          <w:sz w:val="32"/>
          <w:szCs w:val="32"/>
          <w:highlight w:val="none"/>
          <w:lang w:val="en-US" w:eastAsia="zh-CN" w:bidi="ar-SA"/>
        </w:rPr>
        <w:t>。</w:t>
      </w:r>
    </w:p>
    <w:p w14:paraId="63834C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5"/>
    </w:p>
    <w:p w14:paraId="5903F07F">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年度“三公”经费财政拨款支出决算中，因公出国（境）费支出决算0万元，占0%；公务用车购置及运行维护费支出决算</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%；公务接待费支出决算0万元，占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8331F0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lang w:val="en-US" w:eastAsia="zh-CN"/>
        </w:rPr>
        <w:drawing>
          <wp:anchor distT="0" distB="0" distL="114300" distR="114300" simplePos="0" relativeHeight="251665408" behindDoc="0" locked="0" layoutInCell="1" allowOverlap="1">
            <wp:simplePos x="0" y="0"/>
            <wp:positionH relativeFrom="column">
              <wp:posOffset>306070</wp:posOffset>
            </wp:positionH>
            <wp:positionV relativeFrom="paragraph">
              <wp:posOffset>139700</wp:posOffset>
            </wp:positionV>
            <wp:extent cx="4817110" cy="2145665"/>
            <wp:effectExtent l="5080" t="4445" r="16510" b="21590"/>
            <wp:wrapTopAndBottom/>
            <wp:docPr id="18" name="图表 18"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因公出国（境）支出决算比上年度增加/减少</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万元，增长/下降</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w:t>
      </w:r>
    </w:p>
    <w:p w14:paraId="1F64667E">
      <w:pPr>
        <w:tabs>
          <w:tab w:val="left" w:pos="6510"/>
        </w:tabs>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w:t>
      </w:r>
      <w:r>
        <w:rPr>
          <w:rFonts w:hint="eastAsia" w:eastAsia="仿宋_GB2312" w:cs="Times New Roman"/>
          <w:b/>
          <w:bCs/>
          <w:color w:val="auto"/>
          <w:kern w:val="2"/>
          <w:sz w:val="32"/>
          <w:szCs w:val="32"/>
          <w:highlight w:val="none"/>
          <w:lang w:val="en-US" w:eastAsia="zh-CN" w:bidi="ar-SA"/>
        </w:rPr>
        <w:t>2.8</w:t>
      </w:r>
      <w:r>
        <w:rPr>
          <w:rFonts w:hint="default" w:ascii="Times New Roman" w:hAnsi="Times New Roman" w:eastAsia="仿宋_GB2312" w:cs="Times New Roman"/>
          <w:b/>
          <w:bCs/>
          <w:color w:val="auto"/>
          <w:kern w:val="2"/>
          <w:sz w:val="32"/>
          <w:szCs w:val="32"/>
          <w:highlight w:val="none"/>
          <w:lang w:val="en-US" w:eastAsia="zh-CN" w:bidi="ar-SA"/>
        </w:rPr>
        <w:t>万元，完成预算</w:t>
      </w:r>
      <w:r>
        <w:rPr>
          <w:rFonts w:hint="default" w:ascii="Times New Roman" w:hAnsi="Times New Roman" w:eastAsia="仿宋_GB2312" w:cs="Times New Roman"/>
          <w:color w:val="auto"/>
          <w:kern w:val="2"/>
          <w:sz w:val="32"/>
          <w:szCs w:val="32"/>
          <w:highlight w:val="none"/>
          <w:lang w:val="en-US" w:eastAsia="zh-CN" w:bidi="ar-SA"/>
        </w:rPr>
        <w:t>100%。公务用车购置及运行维护费支出决算比202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年度减少</w:t>
      </w:r>
      <w:r>
        <w:rPr>
          <w:rFonts w:hint="eastAsia" w:eastAsia="仿宋_GB2312" w:cs="Times New Roman"/>
          <w:color w:val="auto"/>
          <w:kern w:val="2"/>
          <w:sz w:val="32"/>
          <w:szCs w:val="32"/>
          <w:highlight w:val="none"/>
          <w:lang w:val="en-US" w:eastAsia="zh-CN" w:bidi="ar-SA"/>
        </w:rPr>
        <w:t>0.36</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11.39</w:t>
      </w:r>
      <w:r>
        <w:rPr>
          <w:rFonts w:hint="default" w:ascii="Times New Roman" w:hAnsi="Times New Roman" w:eastAsia="仿宋_GB2312" w:cs="Times New Roman"/>
          <w:color w:val="auto"/>
          <w:kern w:val="2"/>
          <w:sz w:val="32"/>
          <w:szCs w:val="32"/>
          <w:highlight w:val="none"/>
          <w:lang w:val="en-US" w:eastAsia="zh-CN" w:bidi="ar-SA"/>
        </w:rPr>
        <w:t>%。主要原因是厉行节约。</w:t>
      </w:r>
    </w:p>
    <w:p w14:paraId="7EE56D8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w:t>
      </w:r>
    </w:p>
    <w:p w14:paraId="748AAA6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年12月31日，单位共有公务用车3辆，其中：轿车0辆、越野车1辆、其他车辆2辆。</w:t>
      </w:r>
    </w:p>
    <w:p w14:paraId="14C8387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eastAsia" w:eastAsia="仿宋_GB2312" w:cs="Times New Roman"/>
          <w:color w:val="auto"/>
          <w:kern w:val="2"/>
          <w:sz w:val="32"/>
          <w:szCs w:val="32"/>
          <w:highlight w:val="none"/>
          <w:lang w:val="en-US" w:eastAsia="zh-CN" w:bidi="ar-SA"/>
        </w:rPr>
        <w:t>2.8</w:t>
      </w:r>
      <w:r>
        <w:rPr>
          <w:rFonts w:hint="default" w:ascii="Times New Roman" w:hAnsi="Times New Roman" w:eastAsia="仿宋_GB2312" w:cs="Times New Roman"/>
          <w:color w:val="auto"/>
          <w:kern w:val="2"/>
          <w:sz w:val="32"/>
          <w:szCs w:val="32"/>
          <w:highlight w:val="none"/>
          <w:lang w:val="en-US" w:eastAsia="zh-CN" w:bidi="ar-SA"/>
        </w:rPr>
        <w:t>万元。主要用于乡村振兴、产业发展等公务活动所需的公务用车燃料费、维修费、过路过桥费等支出。</w:t>
      </w:r>
    </w:p>
    <w:p w14:paraId="28EF62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w:t>
      </w:r>
      <w:r>
        <w:rPr>
          <w:rFonts w:hint="eastAsia" w:eastAsia="仿宋_GB2312" w:cs="Times New Roman"/>
          <w:b/>
          <w:bCs/>
          <w:color w:val="auto"/>
          <w:kern w:val="2"/>
          <w:sz w:val="32"/>
          <w:szCs w:val="32"/>
          <w:highlight w:val="none"/>
          <w:lang w:val="en-US" w:eastAsia="zh-CN" w:bidi="ar-SA"/>
        </w:rPr>
        <w:t>0</w:t>
      </w:r>
      <w:r>
        <w:rPr>
          <w:rFonts w:hint="default" w:ascii="Times New Roman" w:hAnsi="Times New Roman" w:eastAsia="仿宋_GB2312" w:cs="Times New Roman"/>
          <w:b/>
          <w:bCs/>
          <w:color w:val="auto"/>
          <w:kern w:val="2"/>
          <w:sz w:val="32"/>
          <w:szCs w:val="32"/>
          <w:highlight w:val="none"/>
          <w:lang w:val="en-US" w:eastAsia="zh-CN" w:bidi="ar-SA"/>
        </w:rPr>
        <w:t>万元，完成预算</w:t>
      </w:r>
      <w:r>
        <w:rPr>
          <w:rFonts w:hint="eastAsia" w:eastAsia="仿宋_GB2312" w:cs="Times New Roman"/>
          <w:b/>
          <w:bCs/>
          <w:color w:val="auto"/>
          <w:kern w:val="2"/>
          <w:sz w:val="32"/>
          <w:szCs w:val="32"/>
          <w:highlight w:val="none"/>
          <w:lang w:val="en-US" w:eastAsia="zh-CN" w:bidi="ar-SA"/>
        </w:rPr>
        <w:t>0</w:t>
      </w:r>
      <w:r>
        <w:rPr>
          <w:rFonts w:hint="default" w:ascii="Times New Roman" w:hAnsi="Times New Roman" w:eastAsia="仿宋_GB2312" w:cs="Times New Roman"/>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厉行节约，减少公务接待开支，因此本年未进行公务接待</w:t>
      </w:r>
      <w:r>
        <w:rPr>
          <w:rFonts w:hint="eastAsia" w:ascii="Times New Roman" w:hAnsi="Times New Roman" w:eastAsia="仿宋_GB2312" w:cs="仿宋_GB2312"/>
          <w:color w:val="auto"/>
          <w:kern w:val="2"/>
          <w:sz w:val="32"/>
          <w:szCs w:val="32"/>
          <w:highlight w:val="none"/>
          <w:lang w:val="en-US" w:eastAsia="zh-CN" w:bidi="ar-SA"/>
        </w:rPr>
        <w:t>。其中：</w:t>
      </w:r>
    </w:p>
    <w:p w14:paraId="2A9BA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。国内公务接待0批次，0人次（不包括陪同人员），共计支出0万元</w:t>
      </w:r>
    </w:p>
    <w:p w14:paraId="4651AC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bookmarkStart w:id="46" w:name="_Toc15377218"/>
      <w:bookmarkStart w:id="47" w:name="_Toc15396610"/>
    </w:p>
    <w:p w14:paraId="21207E08">
      <w:pPr>
        <w:spacing w:line="600" w:lineRule="exact"/>
        <w:ind w:firstLine="640"/>
        <w:outlineLvl w:val="1"/>
        <w:rPr>
          <w:rStyle w:val="30"/>
          <w:rFonts w:ascii="Times New Roman" w:hAnsi="Times New Roman" w:eastAsia="黑体"/>
          <w:color w:val="auto"/>
          <w:highlight w:val="none"/>
        </w:rPr>
      </w:pPr>
      <w:bookmarkStart w:id="48" w:name="_Toc2795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6"/>
      <w:bookmarkEnd w:id="47"/>
      <w:bookmarkEnd w:id="48"/>
    </w:p>
    <w:p w14:paraId="7E5CDB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年度政府性基金预算财政拨款支出0万元，占本年支出合计的0%。与上年度相比，政府性基金预算财政拨款支出增加/减少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B628EF7">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9" w:name="_Toc24221"/>
      <w:bookmarkStart w:id="50" w:name="_Toc15377219"/>
      <w:bookmarkStart w:id="51"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9"/>
      <w:bookmarkEnd w:id="50"/>
      <w:bookmarkEnd w:id="51"/>
    </w:p>
    <w:p w14:paraId="2CA803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w:t>
      </w:r>
      <w:r>
        <w:rPr>
          <w:rFonts w:hint="eastAsia" w:ascii="Times New Roman" w:hAnsi="Times New Roman" w:eastAsia="仿宋_GB2312" w:cs="仿宋_GB2312"/>
          <w:color w:val="auto"/>
          <w:kern w:val="2"/>
          <w:sz w:val="32"/>
          <w:szCs w:val="32"/>
          <w:highlight w:val="none"/>
          <w:lang w:val="en-US" w:eastAsia="zh-CN" w:bidi="ar-SA"/>
        </w:rPr>
        <w:t>出合计的0%。与上年度相比，国有资本经营预算财政拨款支出增加/减少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6A4A309">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2" w:name="_Toc15396612"/>
      <w:bookmarkStart w:id="53" w:name="_Toc27493"/>
      <w:bookmarkStart w:id="54"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2"/>
      <w:bookmarkEnd w:id="53"/>
      <w:bookmarkEnd w:id="54"/>
    </w:p>
    <w:p w14:paraId="0B96A5F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2"/>
      <w:r>
        <w:rPr>
          <w:rFonts w:hint="eastAsia" w:ascii="Times New Roman" w:hAnsi="Times New Roman" w:eastAsia="楷体_GB2312" w:cs="楷体_GB2312"/>
          <w:b/>
          <w:color w:val="auto"/>
          <w:sz w:val="32"/>
          <w:szCs w:val="32"/>
          <w:highlight w:val="none"/>
        </w:rPr>
        <w:t>（一）机关运行经费支出情况</w:t>
      </w:r>
      <w:bookmarkEnd w:id="55"/>
    </w:p>
    <w:p w14:paraId="2A1BAA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年度，沐川县高笋乡人民政府机关运行经费支出</w:t>
      </w:r>
      <w:r>
        <w:rPr>
          <w:rFonts w:hint="eastAsia" w:eastAsia="仿宋_GB2312" w:cs="仿宋_GB2312"/>
          <w:color w:val="auto"/>
          <w:kern w:val="2"/>
          <w:sz w:val="32"/>
          <w:szCs w:val="32"/>
          <w:highlight w:val="none"/>
          <w:lang w:val="en-US" w:eastAsia="zh-CN" w:bidi="ar-SA"/>
        </w:rPr>
        <w:t>82.32</w:t>
      </w:r>
      <w:r>
        <w:rPr>
          <w:rFonts w:hint="eastAsia" w:ascii="Times New Roman" w:hAnsi="Times New Roman" w:eastAsia="仿宋_GB2312" w:cs="仿宋_GB2312"/>
          <w:color w:val="auto"/>
          <w:kern w:val="2"/>
          <w:sz w:val="32"/>
          <w:szCs w:val="32"/>
          <w:highlight w:val="none"/>
          <w:lang w:val="en-US" w:eastAsia="zh-CN" w:bidi="ar-SA"/>
        </w:rPr>
        <w:t>万元，比202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增加8.02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增长10.79</w:t>
      </w:r>
      <w:r>
        <w:rPr>
          <w:rFonts w:hint="eastAsia" w:ascii="Times New Roman" w:hAnsi="Times New Roman" w:eastAsia="仿宋_GB2312" w:cs="仿宋_GB2312"/>
          <w:color w:val="auto"/>
          <w:kern w:val="2"/>
          <w:sz w:val="32"/>
          <w:szCs w:val="32"/>
          <w:highlight w:val="none"/>
          <w:lang w:val="en-US" w:eastAsia="zh-CN" w:bidi="ar-SA"/>
        </w:rPr>
        <w:t>%。主要原因是公务活动增多，增加运行经费。</w:t>
      </w:r>
    </w:p>
    <w:p w14:paraId="215472A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3"/>
      <w:r>
        <w:rPr>
          <w:rFonts w:hint="eastAsia" w:ascii="Times New Roman" w:hAnsi="Times New Roman" w:eastAsia="楷体_GB2312" w:cs="楷体_GB2312"/>
          <w:b/>
          <w:color w:val="auto"/>
          <w:sz w:val="32"/>
          <w:szCs w:val="32"/>
          <w:highlight w:val="none"/>
        </w:rPr>
        <w:t>（二）政府采购支出情况</w:t>
      </w:r>
      <w:bookmarkEnd w:id="56"/>
    </w:p>
    <w:p w14:paraId="49BC0A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65FBD0D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4"/>
      <w:r>
        <w:rPr>
          <w:rFonts w:hint="eastAsia" w:ascii="Times New Roman" w:hAnsi="Times New Roman" w:eastAsia="楷体_GB2312" w:cs="楷体_GB2312"/>
          <w:b/>
          <w:color w:val="auto"/>
          <w:sz w:val="32"/>
          <w:szCs w:val="32"/>
          <w:highlight w:val="none"/>
        </w:rPr>
        <w:t>（三）国有资产占有使用情况</w:t>
      </w:r>
      <w:bookmarkEnd w:id="57"/>
    </w:p>
    <w:p w14:paraId="7CE863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沐川县高笋乡人民政府共有车辆3辆，其中：主要负责人用车0辆、机要通信用车0辆、应急保障用车0辆、其他用车3辆，其他用车主要是用于公务往返、农技服务中心农业用车、抗旱及森林防灭火洒水车。单价100万元（含）以上设备（不含车辆）0台（套）。</w:t>
      </w:r>
    </w:p>
    <w:p w14:paraId="2B730A1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C660E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根据预算绩效管理要求，高笋乡在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人大主席团经费、乡镇人代会会议费、高笋乡2025县人大代表之家运行经费、高笋乡2025县人大代表活动经费、人大代表活动经费、十八届人大代表工作经费、政协乡镇联络站工作经费、村（社区）“有事来协商”工作经费、存量资金、乐山市金石焦化有限公司捐赠资金、静云村党群服务中心建设资金（诸暨捐赠资金）、乡镇民兵业务经费、乡镇普法依法治理经费、2025年免开县级资金、乡镇老协活动经费、困难群众临时救助资金、村级公共服务经费-服务群众-“一村一警”补贴、社区干部养老保险、医疗保险、居民小组长小额保险、村级公共服务经费-公共运维-农村生活垃圾治理经费、村级公共服务经费-公共运维-社区环境治理经费、村组干部报酬、绩效考核奖励经费、第一书记和工作队工作经费、村级公共服务经费-办公运转、基层活动-报刊费、村干部养老保险、医疗保险、村民小组长小额保险、社区干部居民小组长报酬、绩效考核奖励经费、村级公共服务经费-服务群众-社区网格员补贴、村级公共服务经费-公共运维-村级运维经费、村级公共服务经费-办公运转、基层活动-办公经费、自然灾害短期应急避让补助等29个项目开展了预算事前绩效评估，对</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2689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年度沐川县高笋乡人民政府预算</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个专项项目，包括组织对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高笋乡部门整体（含部门预算项目）绩效自评报告、高笋乡等专项预算项目绩效自评报告，其中，高笋乡部门整体（含部门预算项目）绩效自评得分为100分；高笋乡专项预算项目绩效自评得分为100分。绩效自评报告详见附件。</w:t>
      </w:r>
    </w:p>
    <w:p w14:paraId="2C2EAFDC">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738EFE1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8" w:name="_Toc15396613"/>
      <w:bookmarkStart w:id="59" w:name="_Toc15377225"/>
      <w:bookmarkStart w:id="60" w:name="_Toc2471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8"/>
      <w:bookmarkEnd w:id="59"/>
      <w:bookmarkEnd w:id="60"/>
    </w:p>
    <w:p w14:paraId="65838A73">
      <w:pPr>
        <w:spacing w:line="600" w:lineRule="exact"/>
        <w:jc w:val="left"/>
        <w:rPr>
          <w:rFonts w:ascii="Times New Roman" w:hAnsi="Times New Roman"/>
          <w:b/>
          <w:color w:val="auto"/>
          <w:sz w:val="44"/>
          <w:szCs w:val="44"/>
          <w:highlight w:val="none"/>
        </w:rPr>
      </w:pPr>
    </w:p>
    <w:p w14:paraId="05AAF0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 财政拨款收入：指单位从同级财政部门取得的财政</w:t>
      </w:r>
    </w:p>
    <w:p w14:paraId="5CDA3B9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预算资金。</w:t>
      </w:r>
    </w:p>
    <w:p w14:paraId="6D1D14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事业收入：指事业单位开展专业业务活动及辅助活</w:t>
      </w:r>
    </w:p>
    <w:p w14:paraId="3ACE586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动取得的收入。</w:t>
      </w:r>
    </w:p>
    <w:p w14:paraId="47344B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 经营收入：指事业单位在专业业务活动及其辅助活</w:t>
      </w:r>
    </w:p>
    <w:p w14:paraId="1E57A60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动之外开展非独立核算经营活动取得的收入。</w:t>
      </w:r>
    </w:p>
    <w:p w14:paraId="428667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 其他收入：指单位取得的除上述收入以外的各项收入。</w:t>
      </w:r>
    </w:p>
    <w:p w14:paraId="2CB97D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 使用非财政拨款结余（含专用结余）：指事业单位使用以前年度积累的非财政拨款结余弥补当年收支差额的金额。</w:t>
      </w:r>
    </w:p>
    <w:p w14:paraId="7D9D9A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 年初结转和结余：指以前年度尚未完成、结转到本</w:t>
      </w:r>
    </w:p>
    <w:p w14:paraId="60C1868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按有关规定继续使用的资金。</w:t>
      </w:r>
    </w:p>
    <w:p w14:paraId="465344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 结余分配：指事业单位按照会计制度规定缴纳的所</w:t>
      </w:r>
    </w:p>
    <w:p w14:paraId="27F7D0A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得税、提取的专用结余以及转入非财政拨款结余的金额等。</w:t>
      </w:r>
    </w:p>
    <w:p w14:paraId="064E31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 年末结转和结余：指单位按有关规定结转到下年或</w:t>
      </w:r>
    </w:p>
    <w:p w14:paraId="31F9118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以后年度继续使用的资金。</w:t>
      </w:r>
    </w:p>
    <w:p w14:paraId="3FCD51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 一般公共服务（类）人大事务（款）人大会议（项）：</w:t>
      </w:r>
    </w:p>
    <w:p w14:paraId="3F65D6B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反映各级人大召开人民代表大会等专门会议的支出。</w:t>
      </w:r>
    </w:p>
    <w:p w14:paraId="428911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 一般公共服务（类）人大事务（款）代表工作（项）：</w:t>
      </w:r>
    </w:p>
    <w:p w14:paraId="603F1DDC">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反映人大代表开展各类视察等方面的支出。</w:t>
      </w:r>
    </w:p>
    <w:p w14:paraId="2EF55A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 一般公共服务（类）政协事务（款）一般行政管理</w:t>
      </w:r>
    </w:p>
    <w:p w14:paraId="34F4E6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FD3D4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事务（项）：反映行政单位（包括实行公务员管理的事业单</w:t>
      </w:r>
    </w:p>
    <w:p w14:paraId="54D6373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未单独设置项级科目的其他项目支出。</w:t>
      </w:r>
    </w:p>
    <w:p w14:paraId="3A790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 一般公共服务（类）政协事务（款）其他政协事务</w:t>
      </w:r>
    </w:p>
    <w:p w14:paraId="6121757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支出（项）：反映除上述项目以外的其他政协事务支出。</w:t>
      </w:r>
    </w:p>
    <w:p w14:paraId="68DBF8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 一般公共服务（类）政府办公厅（室）及相关机构</w:t>
      </w:r>
    </w:p>
    <w:p w14:paraId="1DFBDE1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事务（款）行政运行（项）：反映行政单位（包括实行公务</w:t>
      </w:r>
    </w:p>
    <w:p w14:paraId="134F68E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员管理的事业单位）的基本支出。</w:t>
      </w:r>
    </w:p>
    <w:p w14:paraId="0E039F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 一般公共服务（类）政府办公厅（室）及相关机构</w:t>
      </w:r>
    </w:p>
    <w:p w14:paraId="2D3A970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事务（款）一般行政管理事务（项）：反映行政单位（包括</w:t>
      </w:r>
    </w:p>
    <w:p w14:paraId="6FA5C7C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实行公务员管理的事业单位）未单独设置项级科目的其他项</w:t>
      </w:r>
    </w:p>
    <w:p w14:paraId="430DD64D">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目支出。</w:t>
      </w:r>
    </w:p>
    <w:p w14:paraId="29BE114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一般公共服务（类）政府办公厅（室）及相关机构</w:t>
      </w:r>
    </w:p>
    <w:p w14:paraId="1A1EF8F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事务（款）事业运行（项）：反映事业单位的基本支出，不包括行政单位（包括实行公务员管理的事业单位）后勤服务中心、医务室等附属事业单位。</w:t>
      </w:r>
    </w:p>
    <w:p w14:paraId="644C371F">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 一般公共服务（类）信访事务（款）信访业务（项）：反映各级政府用于接待群众来信来访方面的支出。</w:t>
      </w:r>
    </w:p>
    <w:p w14:paraId="07ABB4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国防支出（类）国防动员（款）民兵（项）：反映用于民兵建设与管理等方面的支出。</w:t>
      </w:r>
    </w:p>
    <w:p w14:paraId="186E58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公共安全支出（类）司法（款）普法宣传（项）：</w:t>
      </w:r>
    </w:p>
    <w:p w14:paraId="7ED0D1A7">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反映各级司法行政部门用于组织各种媒体的宣传、普法装备</w:t>
      </w:r>
    </w:p>
    <w:p w14:paraId="1FFD075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与设施、宣传资料、对外宣传、法制作品的审读评审等方面</w:t>
      </w:r>
    </w:p>
    <w:p w14:paraId="780EC44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的支出。</w:t>
      </w:r>
    </w:p>
    <w:p w14:paraId="7100506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文化旅游体育与传媒支出（类）文化和旅游（款）</w:t>
      </w:r>
    </w:p>
    <w:p w14:paraId="693EC44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群众文化（项）：反映群众文化方面的支出，包括基层文化馆（站）、群众艺术馆支出等。</w:t>
      </w:r>
    </w:p>
    <w:p w14:paraId="31457ED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 文化旅游体育与传媒支出（类）文化和旅游（款）</w:t>
      </w:r>
    </w:p>
    <w:p w14:paraId="71FD113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其他文化和旅游支出（项）：反映除上述项目以外其他用于文化和旅游方面的支出。</w:t>
      </w:r>
    </w:p>
    <w:p w14:paraId="2DFB63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社会保障和就业支出（类）行政事业单位养老支出（款）机关事业单位基本养老保险缴费支出（项）：反映机关事业单位实施养老保险制度由单位缴纳的基本养老保险费支出。</w:t>
      </w:r>
    </w:p>
    <w:p w14:paraId="2CB333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社会保障和就业支出（类）行政事业单位养老支出（款）机关事业单位职业年金缴费支出（项）：反映机关事业单位实施养老保险制度由单位实际缴纳的职业年金支出（含职业年金补记支出）。</w:t>
      </w:r>
    </w:p>
    <w:p w14:paraId="529F0F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社会保障和就业支出（类）临时救助（款）临时救助支出（项）：反映用于城乡生活困难居民的临时救助支出。</w:t>
      </w:r>
    </w:p>
    <w:p w14:paraId="2D5A83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社会保障和就业支出（类）其他社会保障和就业支出（款）其他社会保障和就业支出（项）：反映除上述项目以外其他用于社会保障和就业方面的支出。</w:t>
      </w:r>
    </w:p>
    <w:p w14:paraId="016F6BAA">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25. 卫生健康支出（类）公共卫生（款）其他公共卫生支出（项）：反映</w:t>
      </w:r>
      <w:r>
        <w:rPr>
          <w:rFonts w:hint="default" w:eastAsia="仿宋_GB2312" w:cs="仿宋_GB2312"/>
          <w:color w:val="auto"/>
          <w:kern w:val="2"/>
          <w:sz w:val="32"/>
          <w:szCs w:val="32"/>
          <w:highlight w:val="none"/>
          <w:lang w:eastAsia="zh-CN" w:bidi="ar-SA"/>
        </w:rPr>
        <w:t>除上述项目以外的其他用于公共卫生方面的支出。</w:t>
      </w:r>
    </w:p>
    <w:p w14:paraId="20E794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725D61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卫生健康支出（类）行政事业单位医疗（款）事业单位医疗（项）：反映财政部门安排的事业单位基本医疗保险缴费经费，未参加医疗保险的事业单位的公费医疗经费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按国家规定享受离休人员待遇的医疗经费。</w:t>
      </w:r>
    </w:p>
    <w:p w14:paraId="014B3A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卫生健康支出（类）行政事业单位医疗（款）公务员医疗补助（项）：反映财政部门安排的公务员医疗补助经费。</w:t>
      </w:r>
    </w:p>
    <w:p w14:paraId="2E706F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卫生健康支出（类）老龄卫生健康事务（款）老龄卫生健康事务（项）：反映老龄卫生健康事务方面的支出。</w:t>
      </w:r>
    </w:p>
    <w:p w14:paraId="349CD7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w:t>
      </w:r>
      <w:r>
        <w:rPr>
          <w:rFonts w:hint="eastAsia" w:ascii="Times New Roman" w:hAnsi="Times New Roman" w:eastAsia="仿宋_GB2312" w:cs="仿宋_GB2312"/>
          <w:color w:val="auto"/>
          <w:kern w:val="2"/>
          <w:sz w:val="32"/>
          <w:szCs w:val="32"/>
          <w:highlight w:val="none"/>
          <w:lang w:val="en-US" w:eastAsia="zh-CN" w:bidi="ar-SA"/>
        </w:rPr>
        <w:t>. 农林水支出（类）巩固拓展脱贫攻坚成果衔接乡村振兴（款）其他巩固拓展脱贫攻坚成果衔接乡村振兴支出（项）：反映除上述项目以外其他用于巩固拓展脱贫攻坚成果同乡村振兴有效衔接方面的支出。</w:t>
      </w:r>
    </w:p>
    <w:p w14:paraId="1377C9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 农林水支出（类）农村综合改革（款）对村民委员会和村党支部的补助（项）：反映各级财政对村民委员会和村党支部的补助支出，以及支持建立县级基本财力保障机制安排的村级组织运转奖补资金。</w:t>
      </w:r>
    </w:p>
    <w:p w14:paraId="4BBAEC7D">
      <w:pPr>
        <w:spacing w:line="600" w:lineRule="exact"/>
        <w:ind w:firstLine="640"/>
        <w:rPr>
          <w:rFonts w:hint="default"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32. 交通运输支出（类）公路水路运输（款）水路运输管理支出（项）：反映</w:t>
      </w:r>
      <w:r>
        <w:rPr>
          <w:rFonts w:hint="default" w:eastAsia="仿宋_GB2312" w:cs="仿宋_GB2312"/>
          <w:color w:val="auto"/>
          <w:kern w:val="2"/>
          <w:sz w:val="32"/>
          <w:szCs w:val="32"/>
          <w:highlight w:val="none"/>
          <w:lang w:eastAsia="zh-CN" w:bidi="ar-SA"/>
        </w:rPr>
        <w:t>水路运输管理方面</w:t>
      </w:r>
      <w:r>
        <w:rPr>
          <w:rFonts w:hint="eastAsia" w:eastAsia="仿宋_GB2312" w:cs="仿宋_GB2312"/>
          <w:color w:val="auto"/>
          <w:kern w:val="2"/>
          <w:sz w:val="32"/>
          <w:szCs w:val="32"/>
          <w:highlight w:val="none"/>
          <w:lang w:eastAsia="zh-CN" w:bidi="ar-SA"/>
        </w:rPr>
        <w:t>的支出。</w:t>
      </w:r>
    </w:p>
    <w:p w14:paraId="00629E1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33. 资源勘探工业信息等支出（类）制造业（款）行政运行（项）：反映</w:t>
      </w:r>
      <w:r>
        <w:rPr>
          <w:rFonts w:hint="eastAsia" w:eastAsia="仿宋_GB2312" w:cs="仿宋_GB2312"/>
          <w:color w:val="auto"/>
          <w:kern w:val="2"/>
          <w:sz w:val="32"/>
          <w:szCs w:val="32"/>
          <w:highlight w:val="none"/>
          <w:lang w:val="en-US" w:eastAsia="zh-CN" w:bidi="ar-SA"/>
        </w:rPr>
        <w:t>行政单位（包括实行公务员管理的事业单位的基本支出）。</w:t>
      </w:r>
    </w:p>
    <w:p w14:paraId="6BCE71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住房保障支出（类）住房改革支出（款）住房公积金（项）：反映行政事业单位按人力资源和社会保障部、财政部规定的基本工资和津贴补贴以及规定比例为职工缴纳的住房公积金。</w:t>
      </w:r>
    </w:p>
    <w:p w14:paraId="5F470D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灾害防治及应急管理支出（类）应急管理事务（款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安全监管（项）：反映安全生产综合监督管理和工贸行业安全生产监督管理等方面的支出。</w:t>
      </w:r>
    </w:p>
    <w:p w14:paraId="34B46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灾害防治及应急管理支出（类）自然灾害救灾及恢复重建支出（款）其他自然灾害救灾及恢复重建支出（项）：反映除上述项目以外其他用于自然灾害救灾、灾后恢复重建等方面的支出。</w:t>
      </w:r>
    </w:p>
    <w:p w14:paraId="53246D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基本支出：指为保障机构正常运转、完成日常工作任务而发生的人员支出和公用支出。</w:t>
      </w:r>
    </w:p>
    <w:p w14:paraId="7F31C3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项目支出：指在基本支出之外为完成特定行政任务和事业发展目标所发生的支出。</w:t>
      </w:r>
    </w:p>
    <w:p w14:paraId="37BD12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经营支出：指事业单位在专业业务活动及其辅助活动之外开展非独立核算经营活动发生的支出。</w:t>
      </w:r>
    </w:p>
    <w:p w14:paraId="7578D2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en-US" w:eastAsia="zh-CN" w:bidi="ar-SA"/>
        </w:rPr>
        <w:t>. “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车辆购置税）及租用费、燃料费、维修费、过路过桥费、保险费等支出；公务接待费反映单位按规定开支的各类公务</w:t>
      </w:r>
      <w:r>
        <w:rPr>
          <w:rFonts w:hint="eastAsia" w:eastAsia="仿宋_GB2312" w:cs="仿宋_GB2312"/>
          <w:color w:val="auto"/>
          <w:kern w:val="2"/>
          <w:sz w:val="32"/>
          <w:szCs w:val="32"/>
          <w:highlight w:val="none"/>
          <w:lang w:val="en-US" w:eastAsia="zh-CN" w:bidi="ar-SA"/>
        </w:rPr>
        <w:t>接</w:t>
      </w:r>
      <w:r>
        <w:rPr>
          <w:rFonts w:hint="eastAsia" w:ascii="Times New Roman" w:hAnsi="Times New Roman" w:eastAsia="仿宋_GB2312" w:cs="仿宋_GB2312"/>
          <w:color w:val="auto"/>
          <w:kern w:val="2"/>
          <w:sz w:val="32"/>
          <w:szCs w:val="32"/>
          <w:highlight w:val="none"/>
          <w:lang w:val="en-US" w:eastAsia="zh-CN" w:bidi="ar-SA"/>
        </w:rPr>
        <w:t>待（含外宾接待）支出。</w:t>
      </w:r>
    </w:p>
    <w:p w14:paraId="7D6C0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 机关运行经费：为保障行政单位（含参照公务员法管理的事业单位）运行用于购买货物和服务的各项资金，包括办公及印刷费、邮电费、差旅费、会议费、福利费、日常维修费、专用材料及一般设备购置费、办公用房水电费、公务用车运行维护费</w:t>
      </w:r>
      <w:r>
        <w:rPr>
          <w:rFonts w:hint="eastAsia" w:eastAsia="仿宋_GB2312" w:cs="仿宋_GB2312"/>
          <w:color w:val="auto"/>
          <w:kern w:val="2"/>
          <w:sz w:val="32"/>
          <w:szCs w:val="32"/>
          <w:highlight w:val="none"/>
          <w:lang w:val="en-US" w:eastAsia="zh-CN" w:bidi="ar-SA"/>
        </w:rPr>
        <w:t>以及其他费用。</w:t>
      </w:r>
    </w:p>
    <w:p w14:paraId="5608B5D0">
      <w:pPr>
        <w:spacing w:line="600" w:lineRule="exact"/>
        <w:jc w:val="center"/>
        <w:rPr>
          <w:rStyle w:val="29"/>
          <w:rFonts w:hint="eastAsia" w:ascii="Times New Roman" w:hAnsi="Times New Roman" w:eastAsia="黑体"/>
          <w:b w:val="0"/>
          <w:color w:val="auto"/>
          <w:highlight w:val="none"/>
          <w:lang w:eastAsia="zh-CN"/>
        </w:rPr>
      </w:pPr>
      <w:bookmarkStart w:id="6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2"/>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191"/>
        <w:gridCol w:w="1196"/>
        <w:gridCol w:w="1831"/>
        <w:gridCol w:w="956"/>
        <w:gridCol w:w="1115"/>
        <w:gridCol w:w="718"/>
        <w:gridCol w:w="568"/>
      </w:tblGrid>
      <w:tr w14:paraId="47A0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8"/>
            <w:tcBorders>
              <w:top w:val="nil"/>
              <w:left w:val="nil"/>
              <w:bottom w:val="nil"/>
              <w:right w:val="nil"/>
            </w:tcBorders>
            <w:shd w:val="clear" w:color="auto" w:fill="auto"/>
            <w:vAlign w:val="center"/>
          </w:tcPr>
          <w:p w14:paraId="615893C1">
            <w:pPr>
              <w:keepNext w:val="0"/>
              <w:keepLines w:val="0"/>
              <w:widowControl/>
              <w:suppressLineNumbers w:val="0"/>
              <w:jc w:val="center"/>
              <w:textAlignment w:val="center"/>
              <w:rPr>
                <w:rFonts w:hint="default" w:ascii="Times New Roman" w:hAnsi="Times New Roman" w:eastAsia="黑体" w:cs="Times New Roman"/>
                <w:i w:val="0"/>
                <w:iCs w:val="0"/>
                <w:color w:val="auto"/>
                <w:sz w:val="30"/>
                <w:szCs w:val="30"/>
                <w:u w:val="none"/>
              </w:rPr>
            </w:pPr>
            <w:r>
              <w:rPr>
                <w:rFonts w:hint="default" w:ascii="Times New Roman" w:hAnsi="Times New Roman" w:eastAsia="黑体" w:cs="Times New Roman"/>
                <w:i w:val="0"/>
                <w:iCs w:val="0"/>
                <w:color w:val="auto"/>
                <w:kern w:val="0"/>
                <w:sz w:val="36"/>
                <w:szCs w:val="36"/>
                <w:u w:val="none"/>
                <w:lang w:val="en-US" w:eastAsia="zh-CN" w:bidi="ar"/>
              </w:rPr>
              <w:t>部门整体支出绩效目标完成情况自评表</w:t>
            </w:r>
          </w:p>
        </w:tc>
      </w:tr>
      <w:tr w14:paraId="6FB7F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nil"/>
              <w:right w:val="nil"/>
            </w:tcBorders>
            <w:shd w:val="clear" w:color="auto" w:fill="auto"/>
            <w:vAlign w:val="center"/>
          </w:tcPr>
          <w:p w14:paraId="08F71B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（2025年度）</w:t>
            </w:r>
          </w:p>
        </w:tc>
      </w:tr>
      <w:tr w14:paraId="583C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single" w:color="000000" w:sz="4" w:space="0"/>
              <w:right w:val="nil"/>
            </w:tcBorders>
            <w:shd w:val="clear" w:color="auto" w:fill="auto"/>
            <w:vAlign w:val="center"/>
          </w:tcPr>
          <w:p w14:paraId="3B0627D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金额单位：万元</w:t>
            </w:r>
          </w:p>
        </w:tc>
      </w:tr>
      <w:tr w14:paraId="1AAD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9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E03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部门名称</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AEC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高笋乡乡镇</w:t>
            </w:r>
          </w:p>
        </w:tc>
      </w:tr>
      <w:tr w14:paraId="4915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4C0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年度部门整体支出预算</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DA2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资金总额</w:t>
            </w:r>
          </w:p>
        </w:tc>
        <w:tc>
          <w:tcPr>
            <w:tcW w:w="16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6E5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财政拨款</w:t>
            </w:r>
          </w:p>
        </w:tc>
        <w:tc>
          <w:tcPr>
            <w:tcW w:w="14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D47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其他资金</w:t>
            </w:r>
          </w:p>
        </w:tc>
      </w:tr>
      <w:tr w14:paraId="3F0B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95EA8">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2AF4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940.7</w:t>
            </w:r>
          </w:p>
        </w:tc>
        <w:tc>
          <w:tcPr>
            <w:tcW w:w="16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ECE8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925.76</w:t>
            </w:r>
          </w:p>
        </w:tc>
        <w:tc>
          <w:tcPr>
            <w:tcW w:w="14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3A19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14.94</w:t>
            </w:r>
          </w:p>
        </w:tc>
      </w:tr>
      <w:tr w14:paraId="3CCEC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D8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年度总体目标</w:t>
            </w:r>
          </w:p>
        </w:tc>
        <w:tc>
          <w:tcPr>
            <w:tcW w:w="444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F6A19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是保障我乡部门机构正常运转、完成日常工作任务以及承担本乡镇事业发展相关工作。基本支出是保障政府机关、事业单位等机构正常运转的日常支出，包括基本工资、津贴补贴等人员经费以及办公费、印刷费、水电费等日常公用经费。项目支出是保障政府机关、事业单位等机构为完成特定的行政工作任务或事业发展目标，用于专项业务工作的经费支出。项目申报严格按照上级要求，明确绩效目标，控制支行成本，提高项目发挥作用；项目资金主要用于基层司法所业务、普法宣传教育、老年协会活动、城乡环境卫生、困难救助、农村公益事业、农村道路建设等支出。项目支出严格按照用款计划，分季度执行，并制定项目资金管理办法、中长期规划等制度建设；项目实施完成后使本村环境更优美、经济更稳定、社会更和谐，法制、老年活动、环境卫生、司法援助、安全建设均达到预期经济、社会目标。绩效管理严格按照上级部门要求，开展自评工作，对评价结果及时总结上报。</w:t>
            </w:r>
          </w:p>
        </w:tc>
      </w:tr>
      <w:tr w14:paraId="390E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409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年度主要任务</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B02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任务名称</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4C5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主要内容</w:t>
            </w:r>
          </w:p>
        </w:tc>
      </w:tr>
      <w:tr w14:paraId="0C1B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2F74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D2E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保障农林水事务正常运行</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2D49C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主要用于村级公共运行维护和村、社、组干部报酬，村社办公费等。</w:t>
            </w:r>
          </w:p>
        </w:tc>
      </w:tr>
      <w:tr w14:paraId="111A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ED357">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E97F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乡村环境治理持续推进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E2E7D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主要用于场镇及省道103线沿线垃圾清理及保洁员生活补助和村级生活垃圾治理。 </w:t>
            </w:r>
          </w:p>
        </w:tc>
      </w:tr>
      <w:tr w14:paraId="472C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9E9C7">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2AF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驻村工作顺利开展</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4BF27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保障驻村工作队工作顺利开展以及驻村队员工作经费。</w:t>
            </w:r>
          </w:p>
        </w:tc>
      </w:tr>
      <w:tr w14:paraId="114B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3114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8DD3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保障公共安全工作正常开展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4512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主要用于开展普法宣传工作。    </w:t>
            </w:r>
          </w:p>
        </w:tc>
      </w:tr>
      <w:tr w14:paraId="5691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6AE2F">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EBD1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保障单位正常运转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522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主要用于政府机关人员工资、日常运转、人大会议和代表工作、群团、妇联等方面的支出以及为完成特定行政工作任务和事业发展目标而安排的项目支出。保障机关正常运转，行政权力正常运行。    </w:t>
            </w:r>
          </w:p>
        </w:tc>
      </w:tr>
      <w:tr w14:paraId="0A13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F59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055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保障民兵工作正常开展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D4F1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完成全年民兵整租及训练任务。 </w:t>
            </w:r>
          </w:p>
        </w:tc>
      </w:tr>
      <w:tr w14:paraId="7D02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60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年度绩效指标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AA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一级指标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61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二级指标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26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B5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绩效指标性质</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7C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绩效指标值</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FE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绩效度量单位</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DE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权重</w:t>
            </w:r>
          </w:p>
        </w:tc>
      </w:tr>
      <w:tr w14:paraId="3F2A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385E5">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3126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产出指标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BCB2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数量指标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133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保障正常运转的村（社区）数量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A7A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5C3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D03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A20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582E8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BDD2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7794">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5AA8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CBE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开展民兵训练次数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367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0517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eastAsia" w:ascii="Times New Roman" w:hAnsi="Times New Roman" w:eastAsia="宋体" w:cs="Times New Roman"/>
                <w:i w:val="0"/>
                <w:iCs w:val="0"/>
                <w:color w:val="auto"/>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1C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F3E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3E77F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34497">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81363">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7E159">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2D1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开展普法宣传工作次数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616D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F4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61CB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64C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1DB6B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504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C9CEB">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7251">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776F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运维费发放保障村数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3C2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AE6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DEA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25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79141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56AF1">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F20B">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EBD8">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8338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驻村工作队员数量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4799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53A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B1B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494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07E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7F07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8E9B7">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0136">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543D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保障机关事业单位正常运转数量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D03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90A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4C6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6EC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736A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28A14">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26AB9">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04C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质量指标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40F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高质量完成垃圾清运</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F28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6E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7E69">
            <w:pPr>
              <w:jc w:val="left"/>
              <w:rPr>
                <w:rFonts w:hint="default" w:ascii="Times New Roman" w:hAnsi="Times New Roman" w:eastAsia="宋体" w:cs="Times New Roman"/>
                <w:i w:val="0"/>
                <w:iCs w:val="0"/>
                <w:color w:val="auto"/>
                <w:sz w:val="18"/>
                <w:szCs w:val="18"/>
                <w:u w:val="none"/>
                <w:lang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DB1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E32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4AD1">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1EB4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525F6">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34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保障机关正常运行、各项工作顺利开展</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A46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231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69CD">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69E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6CA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F46C">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99ADE">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3880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779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保证驻村工作队工作顺利开展</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490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A7C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DD0B">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79E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FE1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8251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2089E">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F0F89">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770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民兵参训率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762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6CD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8CE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12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4E3E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FFBE3">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A1A12">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DFF1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53E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宣传覆盖率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15B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22E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26A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220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0A88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AA60">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95187">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17E0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时效指标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F1E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村警补贴到位时间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C301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264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66B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873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4C45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8DB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4BB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6778">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E75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工作经费到位时间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8AF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D3C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272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903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40F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3600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A64DC">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4B162">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C35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普法宣传工作完成时间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177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98E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385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6C5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745C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00CAC">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E5FE3">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8295">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978A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确保每月各类经费及时划拨</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C5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F3F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20EB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918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55ED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11FD2">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970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效益指标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AF19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社会效益指标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B6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减少安全事故发生</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F0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61D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3051">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D96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C00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957F">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CE3C5">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6D015">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510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体现党对乡村振兴的关怀和重视</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EEC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29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37B9">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109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407E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5303E">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CF7F4">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FCC5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生态效益指标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72F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群众知法守法显著提升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26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D3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9C1D">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CDD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4179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EA662">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8D16">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C40D">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05A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生态环境明显改善，指标值达到“优”</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A43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5CF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EE94">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186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553D9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FB10">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2E398">
            <w:pPr>
              <w:jc w:val="left"/>
              <w:rPr>
                <w:rFonts w:hint="default" w:ascii="Times New Roman" w:hAnsi="Times New Roman" w:eastAsia="宋体" w:cs="Times New Roman"/>
                <w:i w:val="0"/>
                <w:iCs w:val="0"/>
                <w:color w:val="auto"/>
                <w:sz w:val="18"/>
                <w:szCs w:val="18"/>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DC5E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可持续影响指标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48FC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改善农村环境面貌</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5570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64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6DC9">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F81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E627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43409">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2A7F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满意度指标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E4C6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服务对象满意度指标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1A9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村警满意度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59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394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BC1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67D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F7D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918F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B1702">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4642">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37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民兵满意度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021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0EC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8B0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EBA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8F0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1127">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3908F">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3E66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4B7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老人满意度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C111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907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B86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B57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35A6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28F14">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9C6E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74AB1">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E52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群众满意度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B6C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9E7F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3E3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B4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16B3F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65D0">
            <w:pPr>
              <w:jc w:val="center"/>
              <w:rPr>
                <w:rFonts w:hint="default" w:ascii="Times New Roman" w:hAnsi="Times New Roman" w:eastAsia="宋体" w:cs="Times New Roman"/>
                <w:i w:val="0"/>
                <w:iCs w:val="0"/>
                <w:color w:val="auto"/>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97C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成本指标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57A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经济成本指标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D32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严格进行绩效监控，厉行节约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07B0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E34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940.7</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725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万元</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3316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bl>
    <w:p w14:paraId="76218241">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38D58B8">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1"/>
      <w:bookmarkEnd w:id="63"/>
      <w:bookmarkStart w:id="64" w:name="_Toc15396619"/>
    </w:p>
    <w:p w14:paraId="122501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05B3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4"/>
    </w:p>
    <w:p w14:paraId="6C68B50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0"/>
      <w:r>
        <w:rPr>
          <w:rFonts w:hint="eastAsia" w:ascii="Times New Roman" w:hAnsi="Times New Roman" w:eastAsia="仿宋_GB2312" w:cs="仿宋_GB2312"/>
          <w:color w:val="auto"/>
          <w:sz w:val="32"/>
          <w:szCs w:val="32"/>
          <w:highlight w:val="none"/>
        </w:rPr>
        <w:t>二、收入决算表</w:t>
      </w:r>
      <w:bookmarkEnd w:id="65"/>
    </w:p>
    <w:p w14:paraId="587A69D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1"/>
      <w:r>
        <w:rPr>
          <w:rFonts w:hint="eastAsia" w:ascii="Times New Roman" w:hAnsi="Times New Roman" w:eastAsia="仿宋_GB2312" w:cs="仿宋_GB2312"/>
          <w:color w:val="auto"/>
          <w:sz w:val="32"/>
          <w:szCs w:val="32"/>
          <w:highlight w:val="none"/>
        </w:rPr>
        <w:t>三、支出决算表</w:t>
      </w:r>
      <w:bookmarkEnd w:id="66"/>
    </w:p>
    <w:p w14:paraId="1C457D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2"/>
      <w:r>
        <w:rPr>
          <w:rFonts w:hint="eastAsia" w:ascii="Times New Roman" w:hAnsi="Times New Roman" w:eastAsia="仿宋_GB2312" w:cs="仿宋_GB2312"/>
          <w:color w:val="auto"/>
          <w:sz w:val="32"/>
          <w:szCs w:val="32"/>
          <w:highlight w:val="none"/>
        </w:rPr>
        <w:t>四、财政拨款收入支出决算总表</w:t>
      </w:r>
      <w:bookmarkEnd w:id="67"/>
    </w:p>
    <w:p w14:paraId="3F6D57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3"/>
      <w:r>
        <w:rPr>
          <w:rFonts w:hint="eastAsia" w:ascii="Times New Roman" w:hAnsi="Times New Roman" w:eastAsia="仿宋_GB2312" w:cs="仿宋_GB2312"/>
          <w:color w:val="auto"/>
          <w:sz w:val="32"/>
          <w:szCs w:val="32"/>
          <w:highlight w:val="none"/>
        </w:rPr>
        <w:t>五、财政拨款支出决算明细表</w:t>
      </w:r>
      <w:bookmarkEnd w:id="68"/>
      <w:bookmarkStart w:id="69" w:name="_Toc15396624"/>
    </w:p>
    <w:p w14:paraId="40AE27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9"/>
    </w:p>
    <w:p w14:paraId="573409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5"/>
      <w:r>
        <w:rPr>
          <w:rFonts w:hint="eastAsia" w:ascii="Times New Roman" w:hAnsi="Times New Roman" w:eastAsia="仿宋_GB2312" w:cs="仿宋_GB2312"/>
          <w:color w:val="auto"/>
          <w:sz w:val="32"/>
          <w:szCs w:val="32"/>
          <w:highlight w:val="none"/>
        </w:rPr>
        <w:t>七、一般公共预算财政拨款支出决算明细表</w:t>
      </w:r>
      <w:bookmarkEnd w:id="70"/>
    </w:p>
    <w:p w14:paraId="22AD6C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6"/>
      <w:r>
        <w:rPr>
          <w:rFonts w:hint="eastAsia" w:ascii="Times New Roman" w:hAnsi="Times New Roman" w:eastAsia="仿宋_GB2312" w:cs="仿宋_GB2312"/>
          <w:color w:val="auto"/>
          <w:sz w:val="32"/>
          <w:szCs w:val="32"/>
          <w:highlight w:val="none"/>
        </w:rPr>
        <w:t>八、一般公共预算财政拨款基本支出决算表</w:t>
      </w:r>
      <w:bookmarkEnd w:id="71"/>
    </w:p>
    <w:p w14:paraId="13F6824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7"/>
      <w:r>
        <w:rPr>
          <w:rFonts w:hint="eastAsia" w:ascii="Times New Roman" w:hAnsi="Times New Roman" w:eastAsia="仿宋_GB2312" w:cs="仿宋_GB2312"/>
          <w:color w:val="auto"/>
          <w:sz w:val="32"/>
          <w:szCs w:val="32"/>
          <w:highlight w:val="none"/>
        </w:rPr>
        <w:t>九、一般公共预算财政拨款项目支出决算表</w:t>
      </w:r>
      <w:bookmarkEnd w:id="72"/>
    </w:p>
    <w:p w14:paraId="694001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8"/>
      <w:r>
        <w:rPr>
          <w:rFonts w:hint="eastAsia" w:ascii="Times New Roman" w:hAnsi="Times New Roman" w:eastAsia="仿宋_GB2312" w:cs="仿宋_GB2312"/>
          <w:color w:val="auto"/>
          <w:sz w:val="32"/>
          <w:szCs w:val="32"/>
          <w:highlight w:val="none"/>
        </w:rPr>
        <w:t>十、</w:t>
      </w:r>
      <w:bookmarkEnd w:id="73"/>
      <w:r>
        <w:rPr>
          <w:rFonts w:hint="eastAsia" w:ascii="Times New Roman" w:hAnsi="Times New Roman" w:eastAsia="仿宋_GB2312" w:cs="仿宋_GB2312"/>
          <w:color w:val="auto"/>
          <w:sz w:val="32"/>
          <w:szCs w:val="32"/>
          <w:highlight w:val="none"/>
        </w:rPr>
        <w:t>政府性基金预算财政拨款收入支出决算表</w:t>
      </w:r>
    </w:p>
    <w:p w14:paraId="33AE90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9"/>
      <w:r>
        <w:rPr>
          <w:rFonts w:hint="eastAsia" w:ascii="Times New Roman" w:hAnsi="Times New Roman" w:eastAsia="仿宋_GB2312" w:cs="仿宋_GB2312"/>
          <w:color w:val="auto"/>
          <w:sz w:val="32"/>
          <w:szCs w:val="32"/>
          <w:highlight w:val="none"/>
        </w:rPr>
        <w:t>十一、</w:t>
      </w:r>
      <w:bookmarkEnd w:id="7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C8501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30"/>
      <w:r>
        <w:rPr>
          <w:rFonts w:hint="eastAsia" w:ascii="Times New Roman" w:hAnsi="Times New Roman" w:eastAsia="仿宋_GB2312" w:cs="仿宋_GB2312"/>
          <w:color w:val="auto"/>
          <w:sz w:val="32"/>
          <w:szCs w:val="32"/>
          <w:highlight w:val="none"/>
        </w:rPr>
        <w:t>十二、</w:t>
      </w:r>
      <w:bookmarkEnd w:id="75"/>
      <w:r>
        <w:rPr>
          <w:rFonts w:hint="eastAsia" w:ascii="Times New Roman" w:hAnsi="Times New Roman" w:eastAsia="仿宋_GB2312" w:cs="仿宋_GB2312"/>
          <w:color w:val="auto"/>
          <w:sz w:val="32"/>
          <w:szCs w:val="32"/>
          <w:highlight w:val="none"/>
          <w:lang w:eastAsia="zh-CN"/>
        </w:rPr>
        <w:t>国有资本经营预算财政拨款支出决算表</w:t>
      </w:r>
    </w:p>
    <w:p w14:paraId="6B6FC9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6" w:name="_Toc15396631"/>
      <w:r>
        <w:rPr>
          <w:rFonts w:hint="eastAsia" w:ascii="Times New Roman" w:hAnsi="Times New Roman" w:eastAsia="仿宋_GB2312" w:cs="仿宋_GB2312"/>
          <w:color w:val="auto"/>
          <w:sz w:val="32"/>
          <w:szCs w:val="32"/>
          <w:highlight w:val="none"/>
        </w:rPr>
        <w:t>十三、</w:t>
      </w:r>
      <w:bookmarkEnd w:id="76"/>
      <w:r>
        <w:rPr>
          <w:rFonts w:hint="eastAsia" w:ascii="Times New Roman" w:hAnsi="Times New Roman" w:eastAsia="仿宋_GB2312" w:cs="仿宋_GB2312"/>
          <w:color w:val="auto"/>
          <w:sz w:val="32"/>
          <w:szCs w:val="32"/>
          <w:highlight w:val="none"/>
          <w:lang w:eastAsia="zh-CN"/>
        </w:rPr>
        <w:t>财政拨款“三公”经费支出决算表</w:t>
      </w:r>
    </w:p>
    <w:p w14:paraId="3F3A0490">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2ADE5">
    <w:pPr>
      <w:pStyle w:val="11"/>
      <w:jc w:val="center"/>
    </w:pPr>
  </w:p>
  <w:p w14:paraId="2A68B37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915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1FA0A">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361FA0A">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22379B8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D24B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9E9B4">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BD9E9B4">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957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01C3A6"/>
    <w:multiLevelType w:val="singleLevel"/>
    <w:tmpl w:val="3401C3A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3A2A"/>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AE34CB"/>
    <w:rsid w:val="02A00800"/>
    <w:rsid w:val="02A07D00"/>
    <w:rsid w:val="02D14C40"/>
    <w:rsid w:val="02FEBE30"/>
    <w:rsid w:val="03D04E7B"/>
    <w:rsid w:val="040548D3"/>
    <w:rsid w:val="040A1352"/>
    <w:rsid w:val="04904FA7"/>
    <w:rsid w:val="04916F1E"/>
    <w:rsid w:val="04E64F3B"/>
    <w:rsid w:val="059D1F8D"/>
    <w:rsid w:val="060317A8"/>
    <w:rsid w:val="061E35DE"/>
    <w:rsid w:val="066E0107"/>
    <w:rsid w:val="069408DC"/>
    <w:rsid w:val="07824A17"/>
    <w:rsid w:val="07996F6E"/>
    <w:rsid w:val="07DFD8BA"/>
    <w:rsid w:val="093B0B07"/>
    <w:rsid w:val="09867E8F"/>
    <w:rsid w:val="0990226B"/>
    <w:rsid w:val="09B94F9F"/>
    <w:rsid w:val="09E80551"/>
    <w:rsid w:val="0A2032A3"/>
    <w:rsid w:val="0A5C7676"/>
    <w:rsid w:val="0A60541B"/>
    <w:rsid w:val="0AC478E3"/>
    <w:rsid w:val="0B4B1C27"/>
    <w:rsid w:val="0BE45BE5"/>
    <w:rsid w:val="0C4B49F2"/>
    <w:rsid w:val="0CA8290A"/>
    <w:rsid w:val="0D35B1ED"/>
    <w:rsid w:val="0DD5764F"/>
    <w:rsid w:val="0E254B6B"/>
    <w:rsid w:val="0F645F24"/>
    <w:rsid w:val="0F98263C"/>
    <w:rsid w:val="101860EC"/>
    <w:rsid w:val="101F47CC"/>
    <w:rsid w:val="10A157DE"/>
    <w:rsid w:val="10C055FF"/>
    <w:rsid w:val="10C140E6"/>
    <w:rsid w:val="10DB639B"/>
    <w:rsid w:val="11694EBD"/>
    <w:rsid w:val="11772AA4"/>
    <w:rsid w:val="118107EC"/>
    <w:rsid w:val="11C10E95"/>
    <w:rsid w:val="1274518F"/>
    <w:rsid w:val="12E24EE2"/>
    <w:rsid w:val="131B6383"/>
    <w:rsid w:val="13A12DDD"/>
    <w:rsid w:val="13D50BC4"/>
    <w:rsid w:val="146E4BD8"/>
    <w:rsid w:val="14B17F78"/>
    <w:rsid w:val="1554390E"/>
    <w:rsid w:val="15BA2695"/>
    <w:rsid w:val="15CE5CA7"/>
    <w:rsid w:val="16390046"/>
    <w:rsid w:val="165E0673"/>
    <w:rsid w:val="16B831D5"/>
    <w:rsid w:val="16BB723D"/>
    <w:rsid w:val="16D768B8"/>
    <w:rsid w:val="17E50567"/>
    <w:rsid w:val="17FF27B0"/>
    <w:rsid w:val="18285388"/>
    <w:rsid w:val="1840688C"/>
    <w:rsid w:val="186504BB"/>
    <w:rsid w:val="187D6161"/>
    <w:rsid w:val="189A5FCD"/>
    <w:rsid w:val="18F55160"/>
    <w:rsid w:val="191F1E3D"/>
    <w:rsid w:val="19267830"/>
    <w:rsid w:val="19A445FC"/>
    <w:rsid w:val="1A954C6D"/>
    <w:rsid w:val="1BAD27BA"/>
    <w:rsid w:val="1BC70B3D"/>
    <w:rsid w:val="1BC7354C"/>
    <w:rsid w:val="1BE8440E"/>
    <w:rsid w:val="1C8B6D2B"/>
    <w:rsid w:val="1D0A54DE"/>
    <w:rsid w:val="1D155CEE"/>
    <w:rsid w:val="1D1638FE"/>
    <w:rsid w:val="1E2B6CB1"/>
    <w:rsid w:val="1E312DEB"/>
    <w:rsid w:val="1E44607F"/>
    <w:rsid w:val="1E740ACF"/>
    <w:rsid w:val="1FF35744"/>
    <w:rsid w:val="1FF6BC77"/>
    <w:rsid w:val="203641A9"/>
    <w:rsid w:val="20756A8B"/>
    <w:rsid w:val="208A6CE1"/>
    <w:rsid w:val="208F07B1"/>
    <w:rsid w:val="20B83BEE"/>
    <w:rsid w:val="215160EA"/>
    <w:rsid w:val="2186353C"/>
    <w:rsid w:val="21B12080"/>
    <w:rsid w:val="21B93937"/>
    <w:rsid w:val="21C67E02"/>
    <w:rsid w:val="21DC7C19"/>
    <w:rsid w:val="21F506E7"/>
    <w:rsid w:val="222A1A6A"/>
    <w:rsid w:val="224B3737"/>
    <w:rsid w:val="22D14B46"/>
    <w:rsid w:val="231F0852"/>
    <w:rsid w:val="23514EB6"/>
    <w:rsid w:val="23860B96"/>
    <w:rsid w:val="240371BF"/>
    <w:rsid w:val="244F3473"/>
    <w:rsid w:val="24AB0691"/>
    <w:rsid w:val="24C97D99"/>
    <w:rsid w:val="25A718F0"/>
    <w:rsid w:val="25BB59F6"/>
    <w:rsid w:val="260F557C"/>
    <w:rsid w:val="26414594"/>
    <w:rsid w:val="26970054"/>
    <w:rsid w:val="26AD19C1"/>
    <w:rsid w:val="27691F03"/>
    <w:rsid w:val="27C052F3"/>
    <w:rsid w:val="27DD5EA5"/>
    <w:rsid w:val="280A7820"/>
    <w:rsid w:val="281408E2"/>
    <w:rsid w:val="287265EE"/>
    <w:rsid w:val="2917694A"/>
    <w:rsid w:val="29DA6B40"/>
    <w:rsid w:val="29F80D74"/>
    <w:rsid w:val="29FD04D3"/>
    <w:rsid w:val="2B736B9C"/>
    <w:rsid w:val="2BC41856"/>
    <w:rsid w:val="2BFF7BC6"/>
    <w:rsid w:val="2C11436F"/>
    <w:rsid w:val="2C8A61B5"/>
    <w:rsid w:val="2CDE0C66"/>
    <w:rsid w:val="2D23435A"/>
    <w:rsid w:val="2D3622E0"/>
    <w:rsid w:val="2D4D13D7"/>
    <w:rsid w:val="2DF04E50"/>
    <w:rsid w:val="2E3A797F"/>
    <w:rsid w:val="2E443131"/>
    <w:rsid w:val="2E586DFA"/>
    <w:rsid w:val="2F040D46"/>
    <w:rsid w:val="2F6B035B"/>
    <w:rsid w:val="2FA51ED7"/>
    <w:rsid w:val="2FAE5751"/>
    <w:rsid w:val="2FB1A395"/>
    <w:rsid w:val="2FD9A7D8"/>
    <w:rsid w:val="2FDBF714"/>
    <w:rsid w:val="301F33AD"/>
    <w:rsid w:val="30881BC9"/>
    <w:rsid w:val="30AB6865"/>
    <w:rsid w:val="317A2F6C"/>
    <w:rsid w:val="317C1DD7"/>
    <w:rsid w:val="319F7F4E"/>
    <w:rsid w:val="31A060AB"/>
    <w:rsid w:val="31C37E05"/>
    <w:rsid w:val="32BD1EF1"/>
    <w:rsid w:val="32D75353"/>
    <w:rsid w:val="3304709D"/>
    <w:rsid w:val="332E3A59"/>
    <w:rsid w:val="33A773CB"/>
    <w:rsid w:val="33CC7257"/>
    <w:rsid w:val="342950FC"/>
    <w:rsid w:val="344512FC"/>
    <w:rsid w:val="34570990"/>
    <w:rsid w:val="349D6851"/>
    <w:rsid w:val="35C93186"/>
    <w:rsid w:val="36AA5135"/>
    <w:rsid w:val="36BE0DA7"/>
    <w:rsid w:val="376B6AA6"/>
    <w:rsid w:val="376D39B2"/>
    <w:rsid w:val="37B22D6C"/>
    <w:rsid w:val="37E16F03"/>
    <w:rsid w:val="37F53A3B"/>
    <w:rsid w:val="380E7F06"/>
    <w:rsid w:val="389B6C89"/>
    <w:rsid w:val="38D469F0"/>
    <w:rsid w:val="39092567"/>
    <w:rsid w:val="39627CCD"/>
    <w:rsid w:val="397BAF1F"/>
    <w:rsid w:val="3A1632DF"/>
    <w:rsid w:val="3A4A561C"/>
    <w:rsid w:val="3AB79AF3"/>
    <w:rsid w:val="3AE834C0"/>
    <w:rsid w:val="3B7EF35A"/>
    <w:rsid w:val="3B9FDB6C"/>
    <w:rsid w:val="3BD92649"/>
    <w:rsid w:val="3BF5BC2F"/>
    <w:rsid w:val="3CCF1E09"/>
    <w:rsid w:val="3CEBA265"/>
    <w:rsid w:val="3D98207C"/>
    <w:rsid w:val="3DEE7CF3"/>
    <w:rsid w:val="3E740A63"/>
    <w:rsid w:val="3E740EBA"/>
    <w:rsid w:val="3E78745D"/>
    <w:rsid w:val="3EE17838"/>
    <w:rsid w:val="3F55381A"/>
    <w:rsid w:val="3F7F7599"/>
    <w:rsid w:val="3FF4CAE0"/>
    <w:rsid w:val="3FF7B227"/>
    <w:rsid w:val="40BA72C4"/>
    <w:rsid w:val="414D3CA9"/>
    <w:rsid w:val="42260C25"/>
    <w:rsid w:val="431E075E"/>
    <w:rsid w:val="43452E25"/>
    <w:rsid w:val="43E04D06"/>
    <w:rsid w:val="446C2633"/>
    <w:rsid w:val="44D73F50"/>
    <w:rsid w:val="44E268DA"/>
    <w:rsid w:val="44E91C8C"/>
    <w:rsid w:val="450D13D7"/>
    <w:rsid w:val="45291EF1"/>
    <w:rsid w:val="45506656"/>
    <w:rsid w:val="45AB2CE7"/>
    <w:rsid w:val="461B6788"/>
    <w:rsid w:val="48194880"/>
    <w:rsid w:val="486A6C7A"/>
    <w:rsid w:val="48EA663A"/>
    <w:rsid w:val="49027ABA"/>
    <w:rsid w:val="49474D21"/>
    <w:rsid w:val="49C976E4"/>
    <w:rsid w:val="4A627F82"/>
    <w:rsid w:val="4A7058BF"/>
    <w:rsid w:val="4A9D3546"/>
    <w:rsid w:val="4B0E749A"/>
    <w:rsid w:val="4B2477C4"/>
    <w:rsid w:val="4B4F25DA"/>
    <w:rsid w:val="4B57439F"/>
    <w:rsid w:val="4B7453D6"/>
    <w:rsid w:val="4BCA48A0"/>
    <w:rsid w:val="4BE068DB"/>
    <w:rsid w:val="4BE879F5"/>
    <w:rsid w:val="4C674AF5"/>
    <w:rsid w:val="4CE10AA7"/>
    <w:rsid w:val="4CFF4044"/>
    <w:rsid w:val="4D577224"/>
    <w:rsid w:val="4D92605A"/>
    <w:rsid w:val="4DBF1CEB"/>
    <w:rsid w:val="4DCF3F1E"/>
    <w:rsid w:val="4DF0007C"/>
    <w:rsid w:val="4E8F2EC5"/>
    <w:rsid w:val="4EA97FA9"/>
    <w:rsid w:val="4EAB630A"/>
    <w:rsid w:val="4ECE2238"/>
    <w:rsid w:val="4EFE780A"/>
    <w:rsid w:val="4F333079"/>
    <w:rsid w:val="4F6B5159"/>
    <w:rsid w:val="4F833267"/>
    <w:rsid w:val="4FE9BD67"/>
    <w:rsid w:val="4FFB052F"/>
    <w:rsid w:val="50641753"/>
    <w:rsid w:val="51A25D58"/>
    <w:rsid w:val="5330023E"/>
    <w:rsid w:val="537E6D0A"/>
    <w:rsid w:val="53F74C96"/>
    <w:rsid w:val="54695C17"/>
    <w:rsid w:val="54F306A2"/>
    <w:rsid w:val="55170BA8"/>
    <w:rsid w:val="553218C9"/>
    <w:rsid w:val="567E1AA5"/>
    <w:rsid w:val="56E47B74"/>
    <w:rsid w:val="56F800A1"/>
    <w:rsid w:val="57175D52"/>
    <w:rsid w:val="572C06BE"/>
    <w:rsid w:val="57BD3DD4"/>
    <w:rsid w:val="59F914E6"/>
    <w:rsid w:val="5A6E12EB"/>
    <w:rsid w:val="5AE34FA5"/>
    <w:rsid w:val="5AF92295"/>
    <w:rsid w:val="5B04316E"/>
    <w:rsid w:val="5B250254"/>
    <w:rsid w:val="5BDD79E6"/>
    <w:rsid w:val="5BF561CA"/>
    <w:rsid w:val="5BFF5DFC"/>
    <w:rsid w:val="5CAD0E69"/>
    <w:rsid w:val="5CD71FC4"/>
    <w:rsid w:val="5D1F11B5"/>
    <w:rsid w:val="5D695134"/>
    <w:rsid w:val="5DAE1B18"/>
    <w:rsid w:val="5DE7D9E5"/>
    <w:rsid w:val="5ECEC941"/>
    <w:rsid w:val="5FBF9FF3"/>
    <w:rsid w:val="5FCD4E2C"/>
    <w:rsid w:val="5FEF394A"/>
    <w:rsid w:val="5FF67715"/>
    <w:rsid w:val="60C27A83"/>
    <w:rsid w:val="61B01959"/>
    <w:rsid w:val="61C91F75"/>
    <w:rsid w:val="62A768B8"/>
    <w:rsid w:val="62BF3928"/>
    <w:rsid w:val="633B5E58"/>
    <w:rsid w:val="63B3701E"/>
    <w:rsid w:val="63C4349A"/>
    <w:rsid w:val="643B5584"/>
    <w:rsid w:val="647F5392"/>
    <w:rsid w:val="65E66580"/>
    <w:rsid w:val="664B1D71"/>
    <w:rsid w:val="664B4E8E"/>
    <w:rsid w:val="66535E53"/>
    <w:rsid w:val="665D5B01"/>
    <w:rsid w:val="66A852F5"/>
    <w:rsid w:val="67277B67"/>
    <w:rsid w:val="676F46CE"/>
    <w:rsid w:val="67972404"/>
    <w:rsid w:val="67AA3209"/>
    <w:rsid w:val="67F97E07"/>
    <w:rsid w:val="68F95994"/>
    <w:rsid w:val="692857E0"/>
    <w:rsid w:val="698D0931"/>
    <w:rsid w:val="69E421A0"/>
    <w:rsid w:val="6A716E1B"/>
    <w:rsid w:val="6A7FE5F3"/>
    <w:rsid w:val="6B053271"/>
    <w:rsid w:val="6BDD78B3"/>
    <w:rsid w:val="6C4A05C8"/>
    <w:rsid w:val="6C8742B8"/>
    <w:rsid w:val="6CF86912"/>
    <w:rsid w:val="6D0B281C"/>
    <w:rsid w:val="6DBF5E93"/>
    <w:rsid w:val="6DFF077E"/>
    <w:rsid w:val="6E714EF0"/>
    <w:rsid w:val="6E7E3605"/>
    <w:rsid w:val="6E7FDCC7"/>
    <w:rsid w:val="6EB72579"/>
    <w:rsid w:val="6ED6A62E"/>
    <w:rsid w:val="6EE00B15"/>
    <w:rsid w:val="6F0D15DF"/>
    <w:rsid w:val="6F6FB3EB"/>
    <w:rsid w:val="6F8731EA"/>
    <w:rsid w:val="6FC62348"/>
    <w:rsid w:val="6FCE6052"/>
    <w:rsid w:val="6FD57C00"/>
    <w:rsid w:val="6FEFFFD8"/>
    <w:rsid w:val="6FF5CC65"/>
    <w:rsid w:val="6FFB47EC"/>
    <w:rsid w:val="6FFF034A"/>
    <w:rsid w:val="7020414E"/>
    <w:rsid w:val="70484440"/>
    <w:rsid w:val="70943D3A"/>
    <w:rsid w:val="712A28F1"/>
    <w:rsid w:val="71381023"/>
    <w:rsid w:val="713D39DF"/>
    <w:rsid w:val="715C0E4B"/>
    <w:rsid w:val="71992E7C"/>
    <w:rsid w:val="71B665A5"/>
    <w:rsid w:val="72233669"/>
    <w:rsid w:val="72734D90"/>
    <w:rsid w:val="72AF14FA"/>
    <w:rsid w:val="72B017B9"/>
    <w:rsid w:val="72E4201F"/>
    <w:rsid w:val="730218E9"/>
    <w:rsid w:val="73160E6D"/>
    <w:rsid w:val="731E2396"/>
    <w:rsid w:val="7332FE48"/>
    <w:rsid w:val="733F3600"/>
    <w:rsid w:val="73AB61DA"/>
    <w:rsid w:val="73AD73D5"/>
    <w:rsid w:val="73B6EB34"/>
    <w:rsid w:val="73F71E45"/>
    <w:rsid w:val="73FA497D"/>
    <w:rsid w:val="744731E5"/>
    <w:rsid w:val="746C5BB4"/>
    <w:rsid w:val="749E74D0"/>
    <w:rsid w:val="74A37786"/>
    <w:rsid w:val="74BBD01D"/>
    <w:rsid w:val="74ED5379"/>
    <w:rsid w:val="75A86778"/>
    <w:rsid w:val="75DEEEC2"/>
    <w:rsid w:val="75E32345"/>
    <w:rsid w:val="761F2E3B"/>
    <w:rsid w:val="762C0FEC"/>
    <w:rsid w:val="76DA3ED0"/>
    <w:rsid w:val="76E3355F"/>
    <w:rsid w:val="76FF5125"/>
    <w:rsid w:val="776F6FFA"/>
    <w:rsid w:val="778769C8"/>
    <w:rsid w:val="77A75DCA"/>
    <w:rsid w:val="77DC22F5"/>
    <w:rsid w:val="783E271A"/>
    <w:rsid w:val="78616DE9"/>
    <w:rsid w:val="787E351C"/>
    <w:rsid w:val="78E875D7"/>
    <w:rsid w:val="78FD327E"/>
    <w:rsid w:val="79086DAD"/>
    <w:rsid w:val="7926462B"/>
    <w:rsid w:val="79D7FD79"/>
    <w:rsid w:val="79EE5BA4"/>
    <w:rsid w:val="7A1055E1"/>
    <w:rsid w:val="7A894339"/>
    <w:rsid w:val="7AD284E8"/>
    <w:rsid w:val="7AFF7572"/>
    <w:rsid w:val="7B6C7DFB"/>
    <w:rsid w:val="7B890DF9"/>
    <w:rsid w:val="7BBFBED0"/>
    <w:rsid w:val="7BC3E394"/>
    <w:rsid w:val="7BD86F2F"/>
    <w:rsid w:val="7C1F3737"/>
    <w:rsid w:val="7C352BBA"/>
    <w:rsid w:val="7C3A5B6C"/>
    <w:rsid w:val="7C72739F"/>
    <w:rsid w:val="7CBFC87B"/>
    <w:rsid w:val="7CFE0F48"/>
    <w:rsid w:val="7D272ABC"/>
    <w:rsid w:val="7D67398D"/>
    <w:rsid w:val="7D7EC23E"/>
    <w:rsid w:val="7E576F8D"/>
    <w:rsid w:val="7E8ADEBF"/>
    <w:rsid w:val="7EEF11D3"/>
    <w:rsid w:val="7EF939F5"/>
    <w:rsid w:val="7EFE4840"/>
    <w:rsid w:val="7F0971A6"/>
    <w:rsid w:val="7F1D62E7"/>
    <w:rsid w:val="7F3F679B"/>
    <w:rsid w:val="7F4E2109"/>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6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5105;\&#25105;&#30340;&#36164;&#26009;\&#36130;&#21153;2023\2022&#20915;&#31639;&#20844;&#24320;\&#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a:t>
            </a:r>
            <a:r>
              <a:rPr lang="en-US" altLang="zh-CN"/>
              <a:t>1</a:t>
            </a:r>
            <a:r>
              <a:rPr altLang="en-US"/>
              <a:t>：收入、支出决算总计变动情况图</a:t>
            </a:r>
            <a:endParaRPr altLang="en-US"/>
          </a:p>
        </c:rich>
      </c:tx>
      <c:layout>
        <c:manualLayout>
          <c:xMode val="edge"/>
          <c:yMode val="edge"/>
          <c:x val="0.256547619047619"/>
          <c:y val="0.0571428571428571"/>
        </c:manualLayout>
      </c:layout>
      <c:overlay val="0"/>
      <c:spPr>
        <a:noFill/>
        <a:ln w="3175">
          <a:noFill/>
        </a:ln>
      </c:spPr>
    </c:title>
    <c:autoTitleDeleted val="0"/>
    <c:plotArea>
      <c:layout/>
      <c:barChart>
        <c:barDir val="col"/>
        <c:grouping val="clustered"/>
        <c:varyColors val="0"/>
        <c:ser>
          <c:idx val="0"/>
          <c:order val="0"/>
          <c:tx>
            <c:strRef>
              <c:f>'收支决算总计变动情况-图1'!$A$4</c:f>
              <c:strCache>
                <c:ptCount val="1"/>
                <c:pt idx="0">
                  <c:v>图1：收入、支出决算总计变动情况图</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15303054115"/>
                  <c:y val="0.172069256373256"/>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'收支决算总计变动情况-图1'!$A$1:$B$1</c:f>
              <c:strCache>
                <c:ptCount val="2"/>
                <c:pt idx="0">
                  <c:v>2024年收支</c:v>
                </c:pt>
                <c:pt idx="1">
                  <c:v>2025年收支</c:v>
                </c:pt>
              </c:strCache>
            </c:strRef>
          </c:cat>
          <c:val>
            <c:numRef>
              <c:f>'收支决算总计变动情况-图1'!$A$2:$B$2</c:f>
              <c:numCache>
                <c:formatCode>General</c:formatCode>
                <c:ptCount val="2"/>
                <c:pt idx="0">
                  <c:v>965.88</c:v>
                </c:pt>
                <c:pt idx="1" c:formatCode="#,##0.00">
                  <c:v>940.7</c:v>
                </c:pt>
              </c:numCache>
            </c:numRef>
          </c:val>
        </c:ser>
        <c:dLbls>
          <c:showLegendKey val="0"/>
          <c:showVal val="0"/>
          <c:showCatName val="0"/>
          <c:showSerName val="0"/>
          <c:showPercent val="0"/>
          <c:showBubbleSize val="0"/>
        </c:dLbls>
        <c:gapWidth val="150"/>
        <c:overlap val="0"/>
        <c:axId val="733574299"/>
        <c:axId val="234548475"/>
      </c:barChart>
      <c:catAx>
        <c:axId val="733574299"/>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34548475"/>
        <c:crosses val="autoZero"/>
        <c:auto val="1"/>
        <c:lblAlgn val="ctr"/>
        <c:lblOffset val="100"/>
        <c:noMultiLvlLbl val="0"/>
      </c:catAx>
      <c:valAx>
        <c:axId val="234548475"/>
        <c:scaling>
          <c:orientation val="minMax"/>
        </c:scaling>
        <c:delete val="0"/>
        <c:axPos val="l"/>
        <c:majorGridlines>
          <c:spPr>
            <a:ln w="3175" cap="flat" cmpd="sng" algn="ctr">
              <a:solidFill>
                <a:srgbClr val="000000">
                  <a:alpha val="100000"/>
                </a:srgbClr>
              </a:solidFill>
              <a:prstDash val="solid"/>
              <a:round/>
            </a:ln>
          </c:spPr>
        </c:majorGridlines>
        <c:title>
          <c:tx>
            <c:rich>
              <a:bodyPr rot="-5400000" spcFirstLastPara="0" vertOverflow="ellipsis" vert="horz" wrap="square"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万元</a:t>
                </a:r>
              </a:p>
            </c:rich>
          </c:tx>
          <c:layout/>
          <c:overlay val="0"/>
        </c:title>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33574299"/>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e73cd29f-04f6-407e-b504-38c99708ab0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图2：收入决算结构图</a:t>
            </a:r>
          </a:p>
        </c:rich>
      </c:tx>
      <c:layout>
        <c:manualLayout>
          <c:xMode val="edge"/>
          <c:yMode val="edge"/>
          <c:x val="0.36470161874849"/>
          <c:y val="0.0231619209519762"/>
        </c:manualLayout>
      </c:layout>
      <c:overlay val="0"/>
      <c:spPr>
        <a:noFill/>
        <a:ln>
          <a:noFill/>
        </a:ln>
        <a:effectLst/>
      </c:spPr>
    </c:title>
    <c:autoTitleDeleted val="0"/>
    <c:plotArea>
      <c:layout>
        <c:manualLayout>
          <c:layoutTarget val="inner"/>
          <c:xMode val="edge"/>
          <c:yMode val="edge"/>
          <c:x val="0.293752114037207"/>
          <c:y val="0.183633659158521"/>
          <c:w val="0.409596520898768"/>
          <c:h val="0.720492987675308"/>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655955544817588"/>
                  <c:y val="-0.0048873778155546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65698309115574"/>
                  <c:y val="-0.0020891169741970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Sheet1!$A$1:$B$1</c:f>
              <c:strCache>
                <c:ptCount val="2"/>
                <c:pt idx="0">
                  <c:v>一般公共预算财政拨款收入</c:v>
                </c:pt>
                <c:pt idx="1" c:formatCode="0.00%">
                  <c:v>其他收入</c:v>
                </c:pt>
              </c:strCache>
            </c:strRef>
          </c:cat>
          <c:val>
            <c:numRef>
              <c:f>Sheet1!$A$2:$B$2</c:f>
              <c:numCache>
                <c:formatCode>0.00%</c:formatCode>
                <c:ptCount val="2"/>
                <c:pt idx="0">
                  <c:v>0.9841</c:v>
                </c:pt>
                <c:pt idx="1">
                  <c:v>0.0159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0277240879439478"/>
          <c:y val="0.88419039524011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dc13bd-f1d1-4fda-a6ef-461193595c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3</a:t>
            </a:r>
            <a:r>
              <a:rPr altLang="en-US"/>
              <a:t>：支出决算结构图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Sheet1!$A$1:$B$1</c:f>
              <c:strCache>
                <c:ptCount val="2"/>
                <c:pt idx="0">
                  <c:v>基本支出</c:v>
                </c:pt>
                <c:pt idx="1">
                  <c:v>项目支出</c:v>
                </c:pt>
              </c:strCache>
            </c:strRef>
          </c:cat>
          <c:val>
            <c:numRef>
              <c:f>Sheet1!$A$2:$B$2</c:f>
              <c:numCache>
                <c:formatCode>0.00%</c:formatCode>
                <c:ptCount val="2"/>
                <c:pt idx="0">
                  <c:v>0.7014</c:v>
                </c:pt>
                <c:pt idx="1">
                  <c:v>0.2986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f89ede-9e65-49be-975d-cc15efc79c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a:t>
            </a:r>
          </a:p>
        </c:rich>
      </c:tx>
      <c:layout>
        <c:manualLayout>
          <c:xMode val="edge"/>
          <c:yMode val="edge"/>
          <c:x val="0.151310456633342"/>
          <c:y val="0.035263668715626"/>
        </c:manualLayout>
      </c:layout>
      <c:overlay val="0"/>
      <c:spPr>
        <a:noFill/>
        <a:ln>
          <a:noFill/>
        </a:ln>
        <a:effectLst/>
      </c:spPr>
    </c:title>
    <c:autoTitleDeleted val="0"/>
    <c:plotArea>
      <c:layout/>
      <c:barChart>
        <c:barDir val="col"/>
        <c:grouping val="clustered"/>
        <c:varyColors val="0"/>
        <c:ser>
          <c:idx val="0"/>
          <c:order val="0"/>
          <c:tx>
            <c:strRef>
              <c:f>Sheet1!$A$1</c:f>
              <c:strCache>
                <c:ptCount val="1"/>
                <c:pt idx="0">
                  <c:v>2024年度财政拨款收入、支出总计</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Sheet1!$A$2</c:f>
              <c:numCache>
                <c:formatCode>General</c:formatCode>
                <c:ptCount val="1"/>
                <c:pt idx="0">
                  <c:v>944.97</c:v>
                </c:pt>
              </c:numCache>
            </c:numRef>
          </c:val>
        </c:ser>
        <c:ser>
          <c:idx val="1"/>
          <c:order val="1"/>
          <c:tx>
            <c:strRef>
              <c:f>Sheet1!$B$1</c:f>
              <c:strCache>
                <c:ptCount val="1"/>
                <c:pt idx="0">
                  <c:v>2025年度财政拨款收入、支出总计</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Sheet1!$B$2</c:f>
              <c:numCache>
                <c:formatCode>General</c:formatCode>
                <c:ptCount val="1"/>
                <c:pt idx="0">
                  <c:v>925.76</c:v>
                </c:pt>
              </c:numCache>
            </c:numRef>
          </c:val>
        </c:ser>
        <c:dLbls>
          <c:showLegendKey val="0"/>
          <c:showVal val="1"/>
          <c:showCatName val="0"/>
          <c:showSerName val="0"/>
          <c:showPercent val="0"/>
          <c:showBubbleSize val="0"/>
        </c:dLbls>
        <c:gapWidth val="246"/>
        <c:overlap val="-28"/>
        <c:axId val="716681997"/>
        <c:axId val="554811454"/>
      </c:barChart>
      <c:catAx>
        <c:axId val="71668199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811454"/>
        <c:crosses val="autoZero"/>
        <c:auto val="1"/>
        <c:lblAlgn val="ctr"/>
        <c:lblOffset val="100"/>
        <c:noMultiLvlLbl val="0"/>
      </c:catAx>
      <c:valAx>
        <c:axId val="55481145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66819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6913e0-44e8-4d77-9a05-7fa2003ab0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5</a:t>
            </a:r>
            <a:r>
              <a:rPr altLang="en-US"/>
              <a:t>：一般公共预算财政拨款支出决算变动情况</a:t>
            </a:r>
            <a:endParaRPr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Sheet1!$A$1:$B$1</c:f>
              <c:strCache>
                <c:ptCount val="2"/>
                <c:pt idx="0">
                  <c:v>2024年度一般公共预算财政拨款支出</c:v>
                </c:pt>
                <c:pt idx="1">
                  <c:v>2025年度一般公共预算财政拨款支出</c:v>
                </c:pt>
              </c:strCache>
            </c:strRef>
          </c:cat>
          <c:val>
            <c:numRef>
              <c:f>Sheet1!$A$2:$B$2</c:f>
              <c:numCache>
                <c:formatCode>General</c:formatCode>
                <c:ptCount val="2"/>
                <c:pt idx="0">
                  <c:v>944.97</c:v>
                </c:pt>
                <c:pt idx="1">
                  <c:v>925.76</c:v>
                </c:pt>
              </c:numCache>
            </c:numRef>
          </c:val>
        </c:ser>
        <c:dLbls>
          <c:showLegendKey val="0"/>
          <c:showVal val="1"/>
          <c:showCatName val="0"/>
          <c:showSerName val="0"/>
          <c:showPercent val="0"/>
          <c:showBubbleSize val="0"/>
        </c:dLbls>
        <c:gapWidth val="246"/>
        <c:overlap val="-28"/>
        <c:axId val="359064258"/>
        <c:axId val="385093320"/>
      </c:barChart>
      <c:catAx>
        <c:axId val="35906425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093320"/>
        <c:crosses val="autoZero"/>
        <c:auto val="1"/>
        <c:lblAlgn val="ctr"/>
        <c:lblOffset val="100"/>
        <c:noMultiLvlLbl val="0"/>
      </c:catAx>
      <c:valAx>
        <c:axId val="385093320"/>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万元</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064258"/>
        <c:crosses val="autoZero"/>
        <c:crossBetween val="between"/>
      </c:valAx>
      <c:spPr>
        <a:noFill/>
        <a:ln>
          <a:noFill/>
        </a:ln>
        <a:effectLst/>
      </c:spPr>
    </c:plotArea>
    <c:plotVisOnly val="1"/>
    <c:dispBlanksAs val="gap"/>
    <c:showDLblsOverMax val="0"/>
    <c:extLst>
      <c:ext uri="{0b15fc19-7d7d-44ad-8c2d-2c3a37ce22c3}">
        <chartProps xmlns="https://web.wps.cn/et/2018/main" chartId="{34d76151-9df4-47bf-b458-eadb18e4d66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a:t>
            </a:r>
            <a:r>
              <a:rPr lang="en-US" altLang="zh-CN"/>
              <a:t>6</a:t>
            </a:r>
            <a:r>
              <a:rPr altLang="en-US"/>
              <a:t>：一般公共预算财政拨款支出决算结构</a:t>
            </a:r>
            <a:endParaRPr altLang="en-US"/>
          </a:p>
        </c:rich>
      </c:tx>
      <c:layout>
        <c:manualLayout>
          <c:xMode val="edge"/>
          <c:yMode val="edge"/>
          <c:x val="0.190263348634936"/>
          <c:y val="0.02783680407989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Lbl>
              <c:idx val="0"/>
              <c:layout>
                <c:manualLayout>
                  <c:x val="-0.0403479101232182"/>
                  <c:y val="0.13727156821079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28171055810582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18289441894177"/>
                      <c:h val="0.118359541011475"/>
                    </c:manualLayout>
                  </c15:layout>
                </c:ext>
              </c:extLst>
            </c:dLbl>
            <c:dLbl>
              <c:idx val="2"/>
              <c:layout>
                <c:manualLayout>
                  <c:x val="0.15764677458323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16791495530321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83619231698478"/>
                      <c:h val="0.170845728856779"/>
                    </c:manualLayout>
                  </c15:layout>
                </c:ext>
              </c:extLst>
            </c:dLbl>
            <c:dLbl>
              <c:idx val="4"/>
              <c:layout>
                <c:manualLayout>
                  <c:x val="-0.0615694686754808"/>
                  <c:y val="-0.085847853803654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0161296166775137"/>
                  <c:y val="-0.1323841903952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6"/>
              <c:layout>
                <c:manualLayout>
                  <c:x val="0.0279052911331239"/>
                  <c:y val="-0.093072673183170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7"/>
              <c:layout>
                <c:manualLayout>
                  <c:x val="-0.0222275912056052"/>
                  <c:y val="0.039099022524436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8"/>
              <c:layout>
                <c:manualLayout>
                  <c:x val="0.167310944672626"/>
                  <c:y val="0.10050998725031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一般公共服务支出</c:v>
                </c:pt>
                <c:pt idx="1">
                  <c:v>国防支出</c:v>
                </c:pt>
                <c:pt idx="2">
                  <c:v>公共安全支出</c:v>
                </c:pt>
                <c:pt idx="3">
                  <c:v>文化旅游体育与传媒支出</c:v>
                </c:pt>
                <c:pt idx="4">
                  <c:v>社会保障和就业支出</c:v>
                </c:pt>
                <c:pt idx="5">
                  <c:v>卫生健康支出</c:v>
                </c:pt>
                <c:pt idx="6">
                  <c:v>农林水支出</c:v>
                </c:pt>
                <c:pt idx="7">
                  <c:v>住房保障支出</c:v>
                </c:pt>
                <c:pt idx="8">
                  <c:v>灾害防治及应急管理支出</c:v>
                </c:pt>
              </c:strCache>
            </c:strRef>
          </c:cat>
          <c:val>
            <c:numRef>
              <c:f>Sheet1!$B$2:$B$10</c:f>
              <c:numCache>
                <c:formatCode>0.00%</c:formatCode>
                <c:ptCount val="9"/>
                <c:pt idx="0">
                  <c:v>0.5658</c:v>
                </c:pt>
                <c:pt idx="1">
                  <c:v>0.001</c:v>
                </c:pt>
                <c:pt idx="2">
                  <c:v>0.001</c:v>
                </c:pt>
                <c:pt idx="3">
                  <c:v>0.0003</c:v>
                </c:pt>
                <c:pt idx="4">
                  <c:v>0.0912</c:v>
                </c:pt>
                <c:pt idx="5">
                  <c:v>0.0251</c:v>
                </c:pt>
                <c:pt idx="6">
                  <c:v>0.2666</c:v>
                </c:pt>
                <c:pt idx="7">
                  <c:v>0.0488</c:v>
                </c:pt>
                <c:pt idx="8">
                  <c:v>0.0003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614fcdf6-3a9e-4c16-bc93-e7a83d9724e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a:t>
            </a:r>
            <a:r>
              <a:rPr lang="en-US" altLang="zh-CN"/>
              <a:t>7</a:t>
            </a:r>
            <a:r>
              <a:rPr altLang="en-US"/>
              <a:t>：财政拨款</a:t>
            </a:r>
            <a:r>
              <a:rPr lang="en-US" altLang="zh-CN"/>
              <a:t>“</a:t>
            </a:r>
            <a:r>
              <a:rPr altLang="en-US"/>
              <a:t>三公</a:t>
            </a:r>
            <a:r>
              <a:rPr lang="en-US" altLang="zh-CN"/>
              <a:t>”</a:t>
            </a:r>
            <a:r>
              <a:rPr altLang="en-US"/>
              <a:t>经费支出结构</a:t>
            </a:r>
            <a:endParaRPr altLang="en-US"/>
          </a:p>
        </c:rich>
      </c:tx>
      <c:layout>
        <c:manualLayout>
          <c:xMode val="edge"/>
          <c:yMode val="edge"/>
          <c:x val="0.201555496968099"/>
          <c:y val="0.0192364604912696"/>
        </c:manualLayout>
      </c:layout>
      <c:overlay val="0"/>
      <c:spPr>
        <a:noFill/>
        <a:ln>
          <a:noFill/>
        </a:ln>
        <a:effectLst/>
      </c:spPr>
    </c:title>
    <c:autoTitleDeleted val="0"/>
    <c:plotArea>
      <c:layout>
        <c:manualLayout>
          <c:layoutTarget val="inner"/>
          <c:xMode val="edge"/>
          <c:yMode val="edge"/>
          <c:x val="0.326580543105721"/>
          <c:y val="0.264113643089672"/>
          <c:w val="0.275391510677564"/>
          <c:h val="0.618265759100326"/>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250988663327182"/>
                  <c:y val="0.1944362237348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338254679673082"/>
                      <c:h val="0.188517312814442"/>
                    </c:manualLayout>
                  </c15:layout>
                </c:ext>
              </c:extLst>
            </c:dLbl>
            <c:dLbl>
              <c:idx val="1"/>
              <c:layout>
                <c:manualLayout>
                  <c:x val="0.0562878987608753"/>
                  <c:y val="-0.017164841669132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669786448721329"/>
                      <c:h val="0.19650784255697"/>
                    </c:manualLayout>
                  </c15:layout>
                </c:ext>
              </c:extLst>
            </c:dLbl>
            <c:dLbl>
              <c:idx val="2"/>
              <c:layout>
                <c:manualLayout>
                  <c:x val="0.177959398892697"/>
                  <c:y val="0.15034033737792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因公出国（境）费用</c:v>
                </c:pt>
                <c:pt idx="1">
                  <c:v>公务用车购置及运行维护费</c:v>
                </c:pt>
                <c:pt idx="2">
                  <c:v>公务接待费</c:v>
                </c:pt>
              </c:strCache>
            </c:strRef>
          </c:cat>
          <c:val>
            <c:numRef>
              <c:f>Sheet1!$B$2:$D$2</c:f>
              <c:numCache>
                <c:formatCode>General</c:formatCode>
                <c:ptCount val="3"/>
                <c:pt idx="0">
                  <c:v>0</c:v>
                </c:pt>
                <c:pt idx="1" c:formatCode="0%">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88c96386-d66a-47fe-812e-fbe7b1b9c4b7}"/>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1706</Words>
  <Characters>2607</Characters>
  <Lines>61</Lines>
  <Paragraphs>17</Paragraphs>
  <TotalTime>133</TotalTime>
  <ScaleCrop>false</ScaleCrop>
  <LinksUpToDate>false</LinksUpToDate>
  <CharactersWithSpaces>2653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碎碎唸〆</cp:lastModifiedBy>
  <cp:lastPrinted>2025-08-06T17:34:00Z</cp:lastPrinted>
  <dcterms:modified xsi:type="dcterms:W3CDTF">2026-09-21T01:49:29Z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6EF39D32D2194A1FA468E52CF8D33054_13</vt:lpwstr>
  </property>
  <property fmtid="{D5CDD505-2E9C-101B-9397-08002B2CF9AE}" pid="4" name="KSOTemplateDocerSaveRecord">
    <vt:lpwstr>eyJoZGlkIjoiYTVhNGI4OTdjNTU3ZDAwODgyMDA3MDNkNWQyNTE3N2QiLCJ1c2VySWQiOiIxMTk2NjY1MDM2In0=</vt:lpwstr>
  </property>
</Properties>
</file>